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23E2CA" w14:textId="77777777" w:rsidR="007D4337" w:rsidRPr="00525DD2" w:rsidRDefault="00590CAF" w:rsidP="00590CAF">
      <w:pPr>
        <w:spacing w:after="0"/>
        <w:jc w:val="center"/>
        <w:rPr>
          <w:b/>
          <w:sz w:val="24"/>
          <w:szCs w:val="24"/>
        </w:rPr>
      </w:pPr>
      <w:r w:rsidRPr="00525DD2">
        <w:rPr>
          <w:b/>
          <w:sz w:val="24"/>
          <w:szCs w:val="24"/>
        </w:rPr>
        <w:t>ROE</w:t>
      </w:r>
      <w:r w:rsidR="007D4337" w:rsidRPr="00525DD2">
        <w:rPr>
          <w:b/>
          <w:sz w:val="24"/>
          <w:szCs w:val="24"/>
        </w:rPr>
        <w:t xml:space="preserve"> submission</w:t>
      </w:r>
      <w:r w:rsidRPr="00525DD2">
        <w:rPr>
          <w:b/>
          <w:sz w:val="24"/>
          <w:szCs w:val="24"/>
        </w:rPr>
        <w:t xml:space="preserve"> to the</w:t>
      </w:r>
      <w:r w:rsidR="00525DD2" w:rsidRPr="00525DD2">
        <w:rPr>
          <w:b/>
          <w:sz w:val="24"/>
          <w:szCs w:val="24"/>
        </w:rPr>
        <w:t xml:space="preserve"> EU Targeted stakeholder consultation 2021 Rule of Law Report</w:t>
      </w:r>
    </w:p>
    <w:p w14:paraId="24C02598" w14:textId="77777777" w:rsidR="007D4337" w:rsidRPr="008A174C" w:rsidRDefault="008A174C" w:rsidP="008A174C">
      <w:pPr>
        <w:spacing w:after="0"/>
        <w:jc w:val="center"/>
        <w:rPr>
          <w:b/>
        </w:rPr>
      </w:pPr>
      <w:r w:rsidRPr="008A174C">
        <w:rPr>
          <w:b/>
        </w:rPr>
        <w:t>CYPRUS</w:t>
      </w:r>
    </w:p>
    <w:p w14:paraId="7A6EF342" w14:textId="77777777" w:rsidR="006D0FB2" w:rsidRPr="00333EFD" w:rsidRDefault="006D0FB2" w:rsidP="006D0FB2">
      <w:pPr>
        <w:spacing w:after="0"/>
      </w:pPr>
    </w:p>
    <w:p w14:paraId="0D773047" w14:textId="77777777" w:rsidR="007D4337" w:rsidRDefault="00525DD2" w:rsidP="002D5358">
      <w:pPr>
        <w:pStyle w:val="Heading1"/>
        <w:pBdr>
          <w:top w:val="single" w:sz="4" w:space="1" w:color="auto"/>
        </w:pBdr>
        <w:spacing w:before="27"/>
        <w:ind w:hanging="464"/>
      </w:pPr>
      <w:r>
        <w:t xml:space="preserve">TOPICS FOR INPUT </w:t>
      </w:r>
    </w:p>
    <w:p w14:paraId="3083CCAA" w14:textId="77777777" w:rsidR="002D5358" w:rsidRDefault="002D5358" w:rsidP="002D5358">
      <w:pPr>
        <w:pStyle w:val="Heading1"/>
        <w:pBdr>
          <w:top w:val="single" w:sz="4" w:space="1" w:color="auto"/>
        </w:pBdr>
        <w:spacing w:before="27"/>
        <w:ind w:hanging="464"/>
      </w:pPr>
    </w:p>
    <w:p w14:paraId="4B4F6A6D" w14:textId="77777777" w:rsidR="007D4337" w:rsidRDefault="007D4337" w:rsidP="002D5358">
      <w:pPr>
        <w:pStyle w:val="ListParagraph"/>
        <w:widowControl w:val="0"/>
        <w:numPr>
          <w:ilvl w:val="0"/>
          <w:numId w:val="7"/>
        </w:numPr>
        <w:shd w:val="clear" w:color="auto" w:fill="E7E6E6" w:themeFill="background2"/>
        <w:tabs>
          <w:tab w:val="left" w:pos="464"/>
          <w:tab w:val="left" w:pos="465"/>
        </w:tabs>
        <w:autoSpaceDE w:val="0"/>
        <w:autoSpaceDN w:val="0"/>
        <w:spacing w:before="77" w:after="0" w:line="240" w:lineRule="auto"/>
        <w:ind w:hanging="349"/>
        <w:contextualSpacing w:val="0"/>
        <w:rPr>
          <w:b/>
        </w:rPr>
      </w:pPr>
      <w:bookmarkStart w:id="0" w:name="I._Justice_System"/>
      <w:bookmarkEnd w:id="0"/>
      <w:r>
        <w:rPr>
          <w:b/>
        </w:rPr>
        <w:t>Justice</w:t>
      </w:r>
      <w:r>
        <w:rPr>
          <w:b/>
          <w:spacing w:val="-2"/>
        </w:rPr>
        <w:t xml:space="preserve"> </w:t>
      </w:r>
      <w:r>
        <w:rPr>
          <w:b/>
        </w:rPr>
        <w:t>System</w:t>
      </w:r>
    </w:p>
    <w:p w14:paraId="40B2BB2D" w14:textId="77777777" w:rsidR="007D4337" w:rsidRDefault="007D4337" w:rsidP="007D4337">
      <w:pPr>
        <w:pStyle w:val="Heading2"/>
        <w:numPr>
          <w:ilvl w:val="0"/>
          <w:numId w:val="6"/>
        </w:numPr>
        <w:tabs>
          <w:tab w:val="left" w:pos="543"/>
          <w:tab w:val="left" w:pos="544"/>
        </w:tabs>
        <w:spacing w:before="113"/>
      </w:pPr>
      <w:bookmarkStart w:id="1" w:name="A._Independence"/>
      <w:bookmarkEnd w:id="1"/>
      <w:r>
        <w:t>Independence</w:t>
      </w:r>
    </w:p>
    <w:p w14:paraId="23C3968D" w14:textId="77777777" w:rsidR="007D4337" w:rsidRDefault="007D4337" w:rsidP="007D4337">
      <w:pPr>
        <w:pStyle w:val="ListParagraph"/>
        <w:widowControl w:val="0"/>
        <w:numPr>
          <w:ilvl w:val="1"/>
          <w:numId w:val="6"/>
        </w:numPr>
        <w:tabs>
          <w:tab w:val="left" w:pos="1217"/>
        </w:tabs>
        <w:autoSpaceDE w:val="0"/>
        <w:autoSpaceDN w:val="0"/>
        <w:spacing w:before="120" w:after="0" w:line="240" w:lineRule="auto"/>
        <w:ind w:hanging="362"/>
        <w:contextualSpacing w:val="0"/>
        <w:rPr>
          <w:i/>
        </w:rPr>
      </w:pPr>
      <w:r>
        <w:rPr>
          <w:i/>
        </w:rPr>
        <w:t>Appointment and selection of judges</w:t>
      </w:r>
      <w:r w:rsidR="00525DD2">
        <w:rPr>
          <w:rStyle w:val="FootnoteReference"/>
          <w:i/>
        </w:rPr>
        <w:footnoteReference w:id="1"/>
      </w:r>
      <w:r>
        <w:rPr>
          <w:i/>
        </w:rPr>
        <w:t>, prosecutors and court</w:t>
      </w:r>
      <w:r>
        <w:rPr>
          <w:i/>
          <w:spacing w:val="-9"/>
        </w:rPr>
        <w:t xml:space="preserve"> </w:t>
      </w:r>
      <w:r>
        <w:rPr>
          <w:i/>
        </w:rPr>
        <w:t>presidents</w:t>
      </w:r>
    </w:p>
    <w:p w14:paraId="2173539A" w14:textId="77777777" w:rsidR="007D4337" w:rsidRDefault="007D4337" w:rsidP="007D4337">
      <w:pPr>
        <w:pStyle w:val="ListParagraph"/>
        <w:widowControl w:val="0"/>
        <w:numPr>
          <w:ilvl w:val="1"/>
          <w:numId w:val="6"/>
        </w:numPr>
        <w:tabs>
          <w:tab w:val="left" w:pos="1216"/>
        </w:tabs>
        <w:autoSpaceDE w:val="0"/>
        <w:autoSpaceDN w:val="0"/>
        <w:spacing w:before="121" w:after="0" w:line="240" w:lineRule="auto"/>
        <w:ind w:left="1215" w:right="357" w:hanging="360"/>
        <w:contextualSpacing w:val="0"/>
        <w:rPr>
          <w:i/>
        </w:rPr>
      </w:pPr>
      <w:r>
        <w:rPr>
          <w:i/>
        </w:rPr>
        <w:t>Irremovability of judges; including transfers, dismissal and retirement regime of judges, court presidents and</w:t>
      </w:r>
      <w:r>
        <w:rPr>
          <w:i/>
          <w:spacing w:val="-3"/>
        </w:rPr>
        <w:t xml:space="preserve"> </w:t>
      </w:r>
      <w:r>
        <w:rPr>
          <w:i/>
        </w:rPr>
        <w:t>prosecutors</w:t>
      </w:r>
    </w:p>
    <w:p w14:paraId="605AED25" w14:textId="77777777" w:rsidR="007D4337" w:rsidRDefault="007D4337" w:rsidP="007D4337">
      <w:pPr>
        <w:pStyle w:val="ListParagraph"/>
        <w:widowControl w:val="0"/>
        <w:numPr>
          <w:ilvl w:val="1"/>
          <w:numId w:val="6"/>
        </w:numPr>
        <w:tabs>
          <w:tab w:val="left" w:pos="1216"/>
        </w:tabs>
        <w:autoSpaceDE w:val="0"/>
        <w:autoSpaceDN w:val="0"/>
        <w:spacing w:before="120" w:after="0" w:line="240" w:lineRule="auto"/>
        <w:ind w:left="1215"/>
        <w:contextualSpacing w:val="0"/>
        <w:rPr>
          <w:i/>
        </w:rPr>
      </w:pPr>
      <w:r>
        <w:rPr>
          <w:i/>
        </w:rPr>
        <w:t>Promotion of judges and</w:t>
      </w:r>
      <w:r>
        <w:rPr>
          <w:i/>
          <w:spacing w:val="-10"/>
        </w:rPr>
        <w:t xml:space="preserve"> </w:t>
      </w:r>
      <w:r>
        <w:rPr>
          <w:i/>
        </w:rPr>
        <w:t>prosecutors</w:t>
      </w:r>
    </w:p>
    <w:p w14:paraId="1B48991B" w14:textId="77777777" w:rsidR="007D4337" w:rsidRDefault="007D4337" w:rsidP="007D4337">
      <w:pPr>
        <w:pStyle w:val="ListParagraph"/>
        <w:widowControl w:val="0"/>
        <w:numPr>
          <w:ilvl w:val="1"/>
          <w:numId w:val="6"/>
        </w:numPr>
        <w:tabs>
          <w:tab w:val="left" w:pos="1216"/>
        </w:tabs>
        <w:autoSpaceDE w:val="0"/>
        <w:autoSpaceDN w:val="0"/>
        <w:spacing w:before="120" w:after="0" w:line="240" w:lineRule="auto"/>
        <w:ind w:left="1215"/>
        <w:contextualSpacing w:val="0"/>
        <w:rPr>
          <w:i/>
        </w:rPr>
      </w:pPr>
      <w:r>
        <w:rPr>
          <w:i/>
        </w:rPr>
        <w:t>Allocation of cases in</w:t>
      </w:r>
      <w:r>
        <w:rPr>
          <w:i/>
          <w:spacing w:val="-2"/>
        </w:rPr>
        <w:t xml:space="preserve"> </w:t>
      </w:r>
      <w:r>
        <w:rPr>
          <w:i/>
        </w:rPr>
        <w:t>courts</w:t>
      </w:r>
    </w:p>
    <w:p w14:paraId="4B267387" w14:textId="77777777" w:rsidR="007D4337" w:rsidRDefault="007D4337" w:rsidP="007D4337">
      <w:pPr>
        <w:pStyle w:val="ListParagraph"/>
        <w:widowControl w:val="0"/>
        <w:numPr>
          <w:ilvl w:val="1"/>
          <w:numId w:val="6"/>
        </w:numPr>
        <w:tabs>
          <w:tab w:val="left" w:pos="1216"/>
        </w:tabs>
        <w:autoSpaceDE w:val="0"/>
        <w:autoSpaceDN w:val="0"/>
        <w:spacing w:before="121" w:after="0" w:line="240" w:lineRule="auto"/>
        <w:ind w:left="1215" w:right="187" w:hanging="360"/>
        <w:contextualSpacing w:val="0"/>
        <w:rPr>
          <w:i/>
        </w:rPr>
      </w:pPr>
      <w:r>
        <w:rPr>
          <w:i/>
        </w:rPr>
        <w:t>Independence (including composition and nomination of its members), and powers of the body tasked with safeguarding the independence of the judiciary (e.g. Council for the Judiciary)</w:t>
      </w:r>
    </w:p>
    <w:p w14:paraId="1D2AF044" w14:textId="77777777" w:rsidR="007D4337" w:rsidRDefault="007D4337" w:rsidP="007D4337">
      <w:pPr>
        <w:pStyle w:val="ListParagraph"/>
        <w:widowControl w:val="0"/>
        <w:numPr>
          <w:ilvl w:val="1"/>
          <w:numId w:val="6"/>
        </w:numPr>
        <w:tabs>
          <w:tab w:val="left" w:pos="1216"/>
        </w:tabs>
        <w:autoSpaceDE w:val="0"/>
        <w:autoSpaceDN w:val="0"/>
        <w:spacing w:before="118" w:after="0" w:line="240" w:lineRule="auto"/>
        <w:ind w:left="1215" w:right="453"/>
        <w:contextualSpacing w:val="0"/>
        <w:rPr>
          <w:i/>
        </w:rPr>
      </w:pPr>
      <w:r>
        <w:rPr>
          <w:i/>
        </w:rPr>
        <w:t>Accountability of judges and prosecutors, including disciplinary regime and bodies and ethical rules, judicial immunity and criminal liability of</w:t>
      </w:r>
      <w:r>
        <w:rPr>
          <w:i/>
          <w:spacing w:val="-9"/>
        </w:rPr>
        <w:t xml:space="preserve"> </w:t>
      </w:r>
      <w:r>
        <w:rPr>
          <w:i/>
        </w:rPr>
        <w:t>judges.</w:t>
      </w:r>
    </w:p>
    <w:p w14:paraId="13501B9A" w14:textId="77777777" w:rsidR="007D4337" w:rsidRDefault="007D4337" w:rsidP="007D4337">
      <w:pPr>
        <w:pStyle w:val="ListParagraph"/>
        <w:widowControl w:val="0"/>
        <w:numPr>
          <w:ilvl w:val="1"/>
          <w:numId w:val="6"/>
        </w:numPr>
        <w:tabs>
          <w:tab w:val="left" w:pos="1216"/>
        </w:tabs>
        <w:autoSpaceDE w:val="0"/>
        <w:autoSpaceDN w:val="0"/>
        <w:spacing w:before="120" w:after="0" w:line="240" w:lineRule="auto"/>
        <w:ind w:left="1215"/>
        <w:contextualSpacing w:val="0"/>
        <w:rPr>
          <w:i/>
        </w:rPr>
      </w:pPr>
      <w:r>
        <w:rPr>
          <w:i/>
        </w:rPr>
        <w:t>Remuneration/bonuses for judges and</w:t>
      </w:r>
      <w:r>
        <w:rPr>
          <w:i/>
          <w:spacing w:val="-4"/>
        </w:rPr>
        <w:t xml:space="preserve"> </w:t>
      </w:r>
      <w:r>
        <w:rPr>
          <w:i/>
        </w:rPr>
        <w:t>prosecutors</w:t>
      </w:r>
    </w:p>
    <w:p w14:paraId="033F8D95" w14:textId="77777777" w:rsidR="007D4337" w:rsidRDefault="007D4337" w:rsidP="007D4337">
      <w:pPr>
        <w:pStyle w:val="ListParagraph"/>
        <w:widowControl w:val="0"/>
        <w:numPr>
          <w:ilvl w:val="1"/>
          <w:numId w:val="6"/>
        </w:numPr>
        <w:tabs>
          <w:tab w:val="left" w:pos="1216"/>
        </w:tabs>
        <w:autoSpaceDE w:val="0"/>
        <w:autoSpaceDN w:val="0"/>
        <w:spacing w:before="121" w:after="0" w:line="240" w:lineRule="auto"/>
        <w:ind w:left="1215"/>
        <w:contextualSpacing w:val="0"/>
        <w:rPr>
          <w:i/>
        </w:rPr>
      </w:pPr>
      <w:r>
        <w:rPr>
          <w:i/>
        </w:rPr>
        <w:t>Independence/autonomy of the prosecution</w:t>
      </w:r>
      <w:r>
        <w:rPr>
          <w:i/>
          <w:spacing w:val="-2"/>
        </w:rPr>
        <w:t xml:space="preserve"> </w:t>
      </w:r>
      <w:r>
        <w:rPr>
          <w:i/>
        </w:rPr>
        <w:t>service</w:t>
      </w:r>
    </w:p>
    <w:p w14:paraId="38274E2B" w14:textId="77777777" w:rsidR="007D4337" w:rsidRDefault="007D4337" w:rsidP="007D4337">
      <w:pPr>
        <w:pStyle w:val="ListParagraph"/>
        <w:widowControl w:val="0"/>
        <w:numPr>
          <w:ilvl w:val="1"/>
          <w:numId w:val="6"/>
        </w:numPr>
        <w:tabs>
          <w:tab w:val="left" w:pos="1216"/>
        </w:tabs>
        <w:autoSpaceDE w:val="0"/>
        <w:autoSpaceDN w:val="0"/>
        <w:spacing w:before="120" w:after="0" w:line="240" w:lineRule="auto"/>
        <w:ind w:left="1215"/>
        <w:contextualSpacing w:val="0"/>
        <w:rPr>
          <w:i/>
        </w:rPr>
      </w:pPr>
      <w:r>
        <w:rPr>
          <w:i/>
        </w:rPr>
        <w:t>Independence of the Bar (chamber/association of lawyers) and of</w:t>
      </w:r>
      <w:r>
        <w:rPr>
          <w:i/>
          <w:spacing w:val="-7"/>
        </w:rPr>
        <w:t xml:space="preserve"> </w:t>
      </w:r>
      <w:r>
        <w:rPr>
          <w:i/>
        </w:rPr>
        <w:t>lawyers</w:t>
      </w:r>
    </w:p>
    <w:p w14:paraId="56EE9493" w14:textId="77777777" w:rsidR="007D4337" w:rsidRDefault="007D4337" w:rsidP="007D4337">
      <w:pPr>
        <w:pStyle w:val="ListParagraph"/>
        <w:widowControl w:val="0"/>
        <w:numPr>
          <w:ilvl w:val="1"/>
          <w:numId w:val="6"/>
        </w:numPr>
        <w:tabs>
          <w:tab w:val="left" w:pos="1216"/>
        </w:tabs>
        <w:autoSpaceDE w:val="0"/>
        <w:autoSpaceDN w:val="0"/>
        <w:spacing w:before="120" w:after="0" w:line="240" w:lineRule="auto"/>
        <w:ind w:left="1215" w:right="287"/>
        <w:contextualSpacing w:val="0"/>
        <w:rPr>
          <w:i/>
        </w:rPr>
      </w:pPr>
      <w:r>
        <w:rPr>
          <w:i/>
        </w:rPr>
        <w:t>Significant developments capable of affecting the perception that the general public has of the independence of the</w:t>
      </w:r>
      <w:r>
        <w:rPr>
          <w:i/>
          <w:spacing w:val="-5"/>
        </w:rPr>
        <w:t xml:space="preserve"> </w:t>
      </w:r>
      <w:r>
        <w:rPr>
          <w:i/>
        </w:rPr>
        <w:t>judiciary</w:t>
      </w:r>
    </w:p>
    <w:p w14:paraId="19C6AACA" w14:textId="77777777" w:rsidR="007D4337" w:rsidRDefault="007D4337" w:rsidP="007D4337">
      <w:pPr>
        <w:pStyle w:val="Heading2"/>
        <w:numPr>
          <w:ilvl w:val="0"/>
          <w:numId w:val="6"/>
        </w:numPr>
        <w:tabs>
          <w:tab w:val="left" w:pos="543"/>
          <w:tab w:val="left" w:pos="544"/>
        </w:tabs>
        <w:spacing w:before="121"/>
        <w:ind w:left="543"/>
      </w:pPr>
      <w:bookmarkStart w:id="2" w:name="B._Quality_of_justice1F"/>
      <w:bookmarkEnd w:id="2"/>
      <w:r>
        <w:t>Quality of</w:t>
      </w:r>
      <w:r>
        <w:rPr>
          <w:spacing w:val="-6"/>
        </w:rPr>
        <w:t xml:space="preserve"> </w:t>
      </w:r>
      <w:r>
        <w:t>justice</w:t>
      </w:r>
      <w:r w:rsidR="00525DD2">
        <w:rPr>
          <w:rStyle w:val="FootnoteReference"/>
        </w:rPr>
        <w:footnoteReference w:id="2"/>
      </w:r>
    </w:p>
    <w:p w14:paraId="7592C39F" w14:textId="77777777" w:rsidR="007D4337" w:rsidRDefault="007D4337" w:rsidP="007D4337">
      <w:pPr>
        <w:pStyle w:val="ListParagraph"/>
        <w:widowControl w:val="0"/>
        <w:numPr>
          <w:ilvl w:val="0"/>
          <w:numId w:val="5"/>
        </w:numPr>
        <w:tabs>
          <w:tab w:val="left" w:pos="1217"/>
        </w:tabs>
        <w:autoSpaceDE w:val="0"/>
        <w:autoSpaceDN w:val="0"/>
        <w:spacing w:before="120" w:after="0" w:line="240" w:lineRule="auto"/>
        <w:ind w:hanging="362"/>
        <w:contextualSpacing w:val="0"/>
        <w:rPr>
          <w:i/>
        </w:rPr>
      </w:pPr>
      <w:r>
        <w:rPr>
          <w:i/>
        </w:rPr>
        <w:t>Accessibility of courts (e.g. court fees, legal aid,</w:t>
      </w:r>
      <w:r>
        <w:rPr>
          <w:i/>
          <w:spacing w:val="-4"/>
        </w:rPr>
        <w:t xml:space="preserve"> </w:t>
      </w:r>
      <w:r>
        <w:rPr>
          <w:i/>
        </w:rPr>
        <w:t>language)</w:t>
      </w:r>
    </w:p>
    <w:p w14:paraId="1A67AC77" w14:textId="26391A55" w:rsidR="005E1FCA" w:rsidRDefault="005E1FCA" w:rsidP="00A73C3D">
      <w:pPr>
        <w:widowControl w:val="0"/>
        <w:tabs>
          <w:tab w:val="left" w:pos="1217"/>
        </w:tabs>
        <w:autoSpaceDE w:val="0"/>
        <w:autoSpaceDN w:val="0"/>
        <w:spacing w:before="120" w:after="0" w:line="240" w:lineRule="auto"/>
        <w:jc w:val="both"/>
      </w:pPr>
      <w:r>
        <w:t xml:space="preserve">In its 2018 concluding observations, the </w:t>
      </w:r>
      <w:r w:rsidR="003F4AAA">
        <w:t xml:space="preserve">UN </w:t>
      </w:r>
      <w:r>
        <w:t xml:space="preserve">Committee on the Elimination  of Discrimination Against Women </w:t>
      </w:r>
      <w:r w:rsidR="00796AE1">
        <w:t xml:space="preserve">(CEDAW) </w:t>
      </w:r>
      <w:r>
        <w:t>expressed concern about persisting barriers to access</w:t>
      </w:r>
      <w:r w:rsidR="003F4AAA">
        <w:t>ing justice by women</w:t>
      </w:r>
      <w:r>
        <w:t>, in particular</w:t>
      </w:r>
      <w:r w:rsidR="003F4AAA">
        <w:t xml:space="preserve">: </w:t>
      </w:r>
      <w:r>
        <w:t>women’s limited knowledge</w:t>
      </w:r>
      <w:r w:rsidR="00796AE1">
        <w:t xml:space="preserve"> </w:t>
      </w:r>
      <w:r>
        <w:t xml:space="preserve">of their rights and available complaint mechanisms; language barriers </w:t>
      </w:r>
      <w:r w:rsidR="003F4AAA">
        <w:t>for</w:t>
      </w:r>
      <w:r>
        <w:t xml:space="preserve"> migrant, asylum-seeking, refugee, internally displaced, Turkish Cypriot and Roma women claiming their rights; women’s limited access to </w:t>
      </w:r>
      <w:r w:rsidRPr="005E1FCA">
        <w:t>free</w:t>
      </w:r>
      <w:r>
        <w:t xml:space="preserve"> </w:t>
      </w:r>
      <w:r w:rsidRPr="005E1FCA">
        <w:t>legal</w:t>
      </w:r>
      <w:r>
        <w:t xml:space="preserve"> </w:t>
      </w:r>
      <w:r w:rsidRPr="005E1FCA">
        <w:t>aid</w:t>
      </w:r>
      <w:r>
        <w:t xml:space="preserve">, </w:t>
      </w:r>
      <w:r w:rsidRPr="005E1FCA">
        <w:t>in</w:t>
      </w:r>
      <w:r>
        <w:t xml:space="preserve"> </w:t>
      </w:r>
      <w:r w:rsidRPr="005E1FCA">
        <w:t>particular</w:t>
      </w:r>
      <w:r>
        <w:t xml:space="preserve"> </w:t>
      </w:r>
      <w:r w:rsidR="00796AE1">
        <w:t>by</w:t>
      </w:r>
      <w:r w:rsidRPr="005E1FCA">
        <w:t xml:space="preserve"> disadvantaged groups such as migrants, asylum seekers and refugees;</w:t>
      </w:r>
      <w:r>
        <w:t xml:space="preserve"> and t</w:t>
      </w:r>
      <w:r w:rsidRPr="005E1FCA">
        <w:t>he lack of expertise regarding women’s rights on the part of the judiciary, law enforcement officials and legal practitioners.</w:t>
      </w:r>
      <w:r w:rsidR="00796AE1">
        <w:t xml:space="preserve"> The Committee was also concerned about the obstacles impeding access to justice for women migrant domestic workers, including the fear of detention and deportation while legal proceedings are pending.</w:t>
      </w:r>
      <w:r w:rsidR="003F4AAA">
        <w:t xml:space="preserve"> </w:t>
      </w:r>
      <w:r>
        <w:t>(</w:t>
      </w:r>
      <w:hyperlink r:id="rId8" w:history="1">
        <w:r w:rsidRPr="003F4AAA">
          <w:rPr>
            <w:rStyle w:val="Hyperlink"/>
          </w:rPr>
          <w:t>CEDAW/C/CYP/CO/8</w:t>
        </w:r>
      </w:hyperlink>
      <w:r>
        <w:t>, para 16</w:t>
      </w:r>
      <w:r w:rsidR="00796AE1">
        <w:t>, 38</w:t>
      </w:r>
      <w:r>
        <w:t>)</w:t>
      </w:r>
    </w:p>
    <w:p w14:paraId="165014E5" w14:textId="411720B4" w:rsidR="004001B4" w:rsidRDefault="006F7B31" w:rsidP="00BF7B00">
      <w:pPr>
        <w:widowControl w:val="0"/>
        <w:tabs>
          <w:tab w:val="left" w:pos="1217"/>
        </w:tabs>
        <w:autoSpaceDE w:val="0"/>
        <w:autoSpaceDN w:val="0"/>
        <w:spacing w:before="120" w:after="0" w:line="240" w:lineRule="auto"/>
        <w:jc w:val="both"/>
      </w:pPr>
      <w:r>
        <w:t>I</w:t>
      </w:r>
      <w:r w:rsidR="00A73C3D">
        <w:t xml:space="preserve">n its 2019 </w:t>
      </w:r>
      <w:r w:rsidR="003E218A">
        <w:t>c</w:t>
      </w:r>
      <w:r w:rsidR="00A73C3D" w:rsidRPr="00A73C3D">
        <w:t>oncluding observations</w:t>
      </w:r>
      <w:r>
        <w:t>, t</w:t>
      </w:r>
      <w:r w:rsidRPr="00A73C3D">
        <w:t xml:space="preserve">he </w:t>
      </w:r>
      <w:r w:rsidR="003F4AAA">
        <w:t xml:space="preserve">UN </w:t>
      </w:r>
      <w:r w:rsidRPr="00A73C3D">
        <w:t>Committe</w:t>
      </w:r>
      <w:r>
        <w:t>e against Torture</w:t>
      </w:r>
      <w:r w:rsidR="00A73C3D" w:rsidRPr="00A73C3D">
        <w:t xml:space="preserve"> </w:t>
      </w:r>
      <w:r w:rsidR="003F4AAA">
        <w:t>was</w:t>
      </w:r>
      <w:r w:rsidR="003F4AAA" w:rsidRPr="00A73C3D">
        <w:t xml:space="preserve"> concerned that prospective recipients for legal aid must argue before a court to convince it about the prospects of success of their claim before being granted legal aid</w:t>
      </w:r>
      <w:r w:rsidR="003F4AAA">
        <w:t xml:space="preserve">. It also raised concern </w:t>
      </w:r>
      <w:r>
        <w:t>about</w:t>
      </w:r>
      <w:r w:rsidR="00A73C3D">
        <w:t xml:space="preserve"> </w:t>
      </w:r>
      <w:r w:rsidR="00A73C3D" w:rsidRPr="00A73C3D">
        <w:t>detainees’ awareness of and access to the guarantees of the</w:t>
      </w:r>
      <w:r>
        <w:t>ir</w:t>
      </w:r>
      <w:r w:rsidR="00A73C3D" w:rsidRPr="00A73C3D">
        <w:t xml:space="preserve"> rights, including complaint procedures. While noting with satisfaction that a detainee’s right to access to an ex officio lawyer ha</w:t>
      </w:r>
      <w:r>
        <w:t>d</w:t>
      </w:r>
      <w:r w:rsidR="00A73C3D" w:rsidRPr="00A73C3D">
        <w:t xml:space="preserve"> been codified in law, the Committee remain</w:t>
      </w:r>
      <w:r>
        <w:t>ed</w:t>
      </w:r>
      <w:r w:rsidR="00A73C3D" w:rsidRPr="00A73C3D">
        <w:t xml:space="preserve"> concerned that this right </w:t>
      </w:r>
      <w:r w:rsidR="00C35EA3">
        <w:t>wa</w:t>
      </w:r>
      <w:r w:rsidR="00A73C3D" w:rsidRPr="00A73C3D">
        <w:t xml:space="preserve">s not always observed in practice. In that regard, the </w:t>
      </w:r>
      <w:r w:rsidR="00A73C3D" w:rsidRPr="00A73C3D">
        <w:lastRenderedPageBreak/>
        <w:t xml:space="preserve">Committee </w:t>
      </w:r>
      <w:r>
        <w:t>wa</w:t>
      </w:r>
      <w:r w:rsidR="00A73C3D" w:rsidRPr="00A73C3D">
        <w:t>s particularly concerned about asylum seekers and irregular migrants, although it welcome</w:t>
      </w:r>
      <w:r>
        <w:t>d</w:t>
      </w:r>
      <w:r w:rsidR="00A73C3D" w:rsidRPr="00A73C3D">
        <w:t xml:space="preserve"> information that the Refugee Law and the Law on Provision of Legal Aid ha</w:t>
      </w:r>
      <w:r>
        <w:t>d</w:t>
      </w:r>
      <w:r w:rsidR="00A73C3D" w:rsidRPr="00A73C3D">
        <w:t xml:space="preserve"> been amended in order to eliminate the restrictive criteria for applying for legal aid when challenging deportation and de</w:t>
      </w:r>
      <w:r w:rsidR="005427FA">
        <w:t>tention orders. The Committee</w:t>
      </w:r>
      <w:r w:rsidR="00796AE1">
        <w:t xml:space="preserve"> </w:t>
      </w:r>
      <w:r w:rsidR="005427FA">
        <w:t>was</w:t>
      </w:r>
      <w:r w:rsidR="00A73C3D" w:rsidRPr="00A73C3D">
        <w:t xml:space="preserve"> also concerned at reports that persons deprived of their liberty were not assigned legal aid prior to their initial interrogations</w:t>
      </w:r>
      <w:bookmarkStart w:id="4" w:name="_GoBack"/>
      <w:bookmarkEnd w:id="4"/>
      <w:r w:rsidR="00A73C3D" w:rsidRPr="00A73C3D">
        <w:t xml:space="preserve">. </w:t>
      </w:r>
      <w:r w:rsidR="000C5816">
        <w:t>In relation to domestic violence, t</w:t>
      </w:r>
      <w:r w:rsidR="007C3038">
        <w:t xml:space="preserve">he Committee expressed concern about reports of actions or omissions by State agencies </w:t>
      </w:r>
      <w:r w:rsidR="000C5816">
        <w:t xml:space="preserve">or other entities, and </w:t>
      </w:r>
      <w:r w:rsidR="007C3038">
        <w:t>that the number of investigations, prosecutions and convictions regarding domestic violence remained low.</w:t>
      </w:r>
      <w:r w:rsidR="000C5816">
        <w:t xml:space="preserve"> It recommended that </w:t>
      </w:r>
      <w:r w:rsidR="003F4AAA">
        <w:t>Cyprus</w:t>
      </w:r>
      <w:r w:rsidR="000C5816">
        <w:t xml:space="preserve"> enforce the existing legal infrastructure to ensure that reports of violence against women, including domestic violence, </w:t>
      </w:r>
      <w:r w:rsidR="003F4AAA">
        <w:t>are</w:t>
      </w:r>
      <w:r w:rsidR="000C5816">
        <w:t xml:space="preserve"> duly investigated, that perpetrators are prosecuted and adequately punished, and that victims hav</w:t>
      </w:r>
      <w:r w:rsidR="00D93DE9">
        <w:t>e access to appropriate redress (</w:t>
      </w:r>
      <w:hyperlink r:id="rId9" w:history="1">
        <w:r w:rsidR="004001B4" w:rsidRPr="004001B4">
          <w:rPr>
            <w:rStyle w:val="Hyperlink"/>
          </w:rPr>
          <w:t>CAT/C/CYP/CO/5</w:t>
        </w:r>
      </w:hyperlink>
      <w:r w:rsidR="00A73C3D" w:rsidRPr="00A73C3D">
        <w:t xml:space="preserve">, </w:t>
      </w:r>
      <w:r w:rsidR="00A73C3D">
        <w:t xml:space="preserve">para </w:t>
      </w:r>
      <w:r w:rsidR="00A73C3D" w:rsidRPr="00A73C3D">
        <w:t>14</w:t>
      </w:r>
      <w:r w:rsidR="000C5816">
        <w:t>, 24-25</w:t>
      </w:r>
      <w:r w:rsidR="00A73C3D">
        <w:t>)</w:t>
      </w:r>
    </w:p>
    <w:p w14:paraId="193E497E" w14:textId="77777777" w:rsidR="0034541D" w:rsidRPr="00A73C3D" w:rsidRDefault="0034541D" w:rsidP="0034541D">
      <w:pPr>
        <w:widowControl w:val="0"/>
        <w:tabs>
          <w:tab w:val="left" w:pos="1217"/>
        </w:tabs>
        <w:autoSpaceDE w:val="0"/>
        <w:autoSpaceDN w:val="0"/>
        <w:spacing w:before="120" w:after="0" w:line="240" w:lineRule="auto"/>
        <w:jc w:val="both"/>
      </w:pPr>
    </w:p>
    <w:tbl>
      <w:tblPr>
        <w:tblStyle w:val="TableGrid"/>
        <w:tblpPr w:leftFromText="142" w:rightFromText="142" w:vertAnchor="page" w:horzAnchor="page" w:tblpX="1134" w:tblpY="284"/>
        <w:tblOverlap w:val="never"/>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9639"/>
      </w:tblGrid>
      <w:tr w:rsidR="004001B4" w:rsidRPr="004001B4" w14:paraId="6EFD66EE" w14:textId="77777777" w:rsidTr="00BF7B00">
        <w:trPr>
          <w:cantSplit/>
          <w:trHeight w:hRule="exact" w:val="851"/>
        </w:trPr>
        <w:tc>
          <w:tcPr>
            <w:tcW w:w="6095" w:type="dxa"/>
            <w:vAlign w:val="bottom"/>
          </w:tcPr>
          <w:p w14:paraId="05963860" w14:textId="77777777" w:rsidR="004001B4" w:rsidRPr="004001B4" w:rsidRDefault="004001B4" w:rsidP="004001B4">
            <w:pPr>
              <w:widowControl w:val="0"/>
              <w:tabs>
                <w:tab w:val="left" w:pos="1217"/>
              </w:tabs>
              <w:autoSpaceDE w:val="0"/>
              <w:autoSpaceDN w:val="0"/>
              <w:spacing w:before="120"/>
              <w:rPr>
                <w:lang w:val="en-GB"/>
              </w:rPr>
            </w:pPr>
          </w:p>
        </w:tc>
      </w:tr>
    </w:tbl>
    <w:p w14:paraId="0A62B12D" w14:textId="77777777" w:rsidR="007D4337" w:rsidRDefault="007D4337" w:rsidP="007D4337">
      <w:pPr>
        <w:pStyle w:val="ListParagraph"/>
        <w:widowControl w:val="0"/>
        <w:numPr>
          <w:ilvl w:val="0"/>
          <w:numId w:val="5"/>
        </w:numPr>
        <w:tabs>
          <w:tab w:val="left" w:pos="1217"/>
        </w:tabs>
        <w:autoSpaceDE w:val="0"/>
        <w:autoSpaceDN w:val="0"/>
        <w:spacing w:before="118" w:after="0" w:line="240" w:lineRule="auto"/>
        <w:ind w:hanging="362"/>
        <w:contextualSpacing w:val="0"/>
        <w:rPr>
          <w:i/>
        </w:rPr>
      </w:pPr>
      <w:r>
        <w:rPr>
          <w:i/>
        </w:rPr>
        <w:t>Resources of the judiciary</w:t>
      </w:r>
      <w:r>
        <w:rPr>
          <w:i/>
          <w:spacing w:val="-2"/>
        </w:rPr>
        <w:t xml:space="preserve"> </w:t>
      </w:r>
      <w:r>
        <w:rPr>
          <w:i/>
        </w:rPr>
        <w:t>(human/financial/material</w:t>
      </w:r>
      <w:r w:rsidR="00525DD2">
        <w:rPr>
          <w:rStyle w:val="FootnoteReference"/>
          <w:i/>
        </w:rPr>
        <w:footnoteReference w:id="3"/>
      </w:r>
      <w:r>
        <w:rPr>
          <w:i/>
        </w:rPr>
        <w:t>)</w:t>
      </w:r>
    </w:p>
    <w:p w14:paraId="0733B071" w14:textId="77777777" w:rsidR="007D4337" w:rsidRDefault="007D4337" w:rsidP="007D4337">
      <w:pPr>
        <w:pStyle w:val="ListParagraph"/>
        <w:widowControl w:val="0"/>
        <w:numPr>
          <w:ilvl w:val="0"/>
          <w:numId w:val="5"/>
        </w:numPr>
        <w:tabs>
          <w:tab w:val="left" w:pos="1216"/>
        </w:tabs>
        <w:autoSpaceDE w:val="0"/>
        <w:autoSpaceDN w:val="0"/>
        <w:spacing w:before="120" w:after="0" w:line="240" w:lineRule="auto"/>
        <w:ind w:left="1215"/>
        <w:contextualSpacing w:val="0"/>
        <w:rPr>
          <w:i/>
        </w:rPr>
      </w:pPr>
      <w:r>
        <w:rPr>
          <w:i/>
        </w:rPr>
        <w:t>Training of justice professionals (including judges, prosecutors, lawyers, court</w:t>
      </w:r>
      <w:r>
        <w:rPr>
          <w:i/>
          <w:spacing w:val="-15"/>
        </w:rPr>
        <w:t xml:space="preserve"> </w:t>
      </w:r>
      <w:r>
        <w:rPr>
          <w:i/>
        </w:rPr>
        <w:t>staff)</w:t>
      </w:r>
    </w:p>
    <w:p w14:paraId="65048F27" w14:textId="15116184" w:rsidR="00F362A3" w:rsidRDefault="00F362A3" w:rsidP="00F362A3">
      <w:pPr>
        <w:widowControl w:val="0"/>
        <w:tabs>
          <w:tab w:val="left" w:pos="1216"/>
        </w:tabs>
        <w:autoSpaceDE w:val="0"/>
        <w:autoSpaceDN w:val="0"/>
        <w:spacing w:before="120" w:after="0" w:line="240" w:lineRule="auto"/>
        <w:jc w:val="both"/>
      </w:pPr>
      <w:r>
        <w:t xml:space="preserve">In its 2018 concluding observations, </w:t>
      </w:r>
      <w:r w:rsidR="003F4AAA">
        <w:t xml:space="preserve">the </w:t>
      </w:r>
      <w:r>
        <w:t xml:space="preserve">CEDAW </w:t>
      </w:r>
      <w:r w:rsidR="003F4AAA">
        <w:t xml:space="preserve">Committee </w:t>
      </w:r>
      <w:r>
        <w:t xml:space="preserve">expressed concern about the lack of expertise regarding women’s rights on the part of the judiciary, law enforcement officials and legal practitioners. It </w:t>
      </w:r>
      <w:r w:rsidRPr="00F362A3">
        <w:t xml:space="preserve">recommended that </w:t>
      </w:r>
      <w:r w:rsidR="003F4AAA">
        <w:t xml:space="preserve">Cyprus </w:t>
      </w:r>
      <w:r w:rsidRPr="00F362A3">
        <w:t xml:space="preserve">take immediate steps, including capacity-building and training programmes for the judiciary on the Convention on the Elimination of All Forms of Discrimination against Women and </w:t>
      </w:r>
      <w:r w:rsidR="003F4AAA">
        <w:t xml:space="preserve">on </w:t>
      </w:r>
      <w:r w:rsidRPr="00F362A3">
        <w:t>women’s r</w:t>
      </w:r>
      <w:r w:rsidR="00D93DE9">
        <w:t xml:space="preserve">ights, to eliminate gender bias </w:t>
      </w:r>
      <w:r>
        <w:t>(</w:t>
      </w:r>
      <w:hyperlink r:id="rId10" w:history="1">
        <w:r w:rsidRPr="003F4AAA">
          <w:rPr>
            <w:rStyle w:val="Hyperlink"/>
          </w:rPr>
          <w:t>CEDAW/C/CYP/CO/8</w:t>
        </w:r>
      </w:hyperlink>
      <w:r>
        <w:t>, para 16-17)</w:t>
      </w:r>
      <w:r w:rsidR="00D93DE9">
        <w:t>.</w:t>
      </w:r>
    </w:p>
    <w:p w14:paraId="7AF4BC88" w14:textId="3B72B495" w:rsidR="003F6F45" w:rsidRDefault="00C35EA3" w:rsidP="00BF7B00">
      <w:pPr>
        <w:widowControl w:val="0"/>
        <w:tabs>
          <w:tab w:val="left" w:pos="1216"/>
        </w:tabs>
        <w:autoSpaceDE w:val="0"/>
        <w:autoSpaceDN w:val="0"/>
        <w:spacing w:before="120" w:after="0" w:line="240" w:lineRule="auto"/>
        <w:jc w:val="both"/>
      </w:pPr>
      <w:r>
        <w:t xml:space="preserve">In its 2019 </w:t>
      </w:r>
      <w:r w:rsidR="003E218A">
        <w:t>c</w:t>
      </w:r>
      <w:r>
        <w:t>oncluding observations, t</w:t>
      </w:r>
      <w:r w:rsidR="003F6F45">
        <w:t xml:space="preserve">he </w:t>
      </w:r>
      <w:r w:rsidR="003F4AAA">
        <w:t xml:space="preserve">UN </w:t>
      </w:r>
      <w:r w:rsidR="003F6F45">
        <w:t>Committe</w:t>
      </w:r>
      <w:r w:rsidR="00FC7632">
        <w:t>e against Torture</w:t>
      </w:r>
      <w:r w:rsidR="006D135C">
        <w:t xml:space="preserve"> recommended </w:t>
      </w:r>
      <w:r w:rsidR="003F4AAA">
        <w:t xml:space="preserve">Cyprus </w:t>
      </w:r>
      <w:r w:rsidR="006D135C">
        <w:t xml:space="preserve">to raise awareness among, and train, law enforcement personnel, social welfare officials, prosecutors and judges on the investigation, prosecution and sanctioning of cases of domestic violence and on creating appropriate conditions for victims to report such cases to the authorities. </w:t>
      </w:r>
      <w:r w:rsidR="00F362A3">
        <w:t>It also</w:t>
      </w:r>
      <w:r w:rsidR="003F4AAA">
        <w:t xml:space="preserve"> </w:t>
      </w:r>
      <w:r w:rsidR="00FC7632">
        <w:t>urged</w:t>
      </w:r>
      <w:r w:rsidR="003F6F45">
        <w:t xml:space="preserve"> </w:t>
      </w:r>
      <w:r w:rsidR="003F4AAA">
        <w:t xml:space="preserve">Cyprus </w:t>
      </w:r>
      <w:r w:rsidR="003F6F45">
        <w:t xml:space="preserve">to develop modules based on the provisions of the Convention </w:t>
      </w:r>
      <w:r w:rsidR="00FC7632" w:rsidRPr="00FC7632">
        <w:t>against Torture and Other Cruel, Inhuman or Degrading Treatment or Punishment</w:t>
      </w:r>
      <w:r w:rsidR="00D64B5A">
        <w:t xml:space="preserve"> </w:t>
      </w:r>
      <w:r w:rsidR="003F6F45">
        <w:t>and the Istanbul Protocol and on non-coercive investigation techniques</w:t>
      </w:r>
      <w:r w:rsidR="00D64B5A">
        <w:t>,</w:t>
      </w:r>
      <w:r w:rsidR="003F6F45">
        <w:t xml:space="preserve"> and </w:t>
      </w:r>
      <w:r w:rsidR="00D64B5A">
        <w:t xml:space="preserve">to </w:t>
      </w:r>
      <w:r w:rsidR="003F6F45">
        <w:t xml:space="preserve">integrate those modules in the periodic and compulsory training programmes for all law enforcement officials, judges, prosecutors and prison and </w:t>
      </w:r>
      <w:r w:rsidR="00D93DE9">
        <w:t>immigration officers and others (</w:t>
      </w:r>
      <w:hyperlink r:id="rId11" w:history="1">
        <w:r w:rsidR="004001B4" w:rsidRPr="004001B4">
          <w:rPr>
            <w:rStyle w:val="Hyperlink"/>
          </w:rPr>
          <w:t>CAT/C/CYP/CO/5</w:t>
        </w:r>
      </w:hyperlink>
      <w:r w:rsidR="004001B4">
        <w:t xml:space="preserve">, </w:t>
      </w:r>
      <w:r w:rsidR="00F5078D">
        <w:t xml:space="preserve">para </w:t>
      </w:r>
      <w:r w:rsidR="006D135C">
        <w:t>25,</w:t>
      </w:r>
      <w:r w:rsidR="00FC7632">
        <w:t xml:space="preserve"> 36)</w:t>
      </w:r>
      <w:r w:rsidR="00D93DE9">
        <w:t>.</w:t>
      </w:r>
    </w:p>
    <w:p w14:paraId="19F1A6CB" w14:textId="2C3CA81A" w:rsidR="003F6F45" w:rsidRPr="003F6F45" w:rsidRDefault="00E86774" w:rsidP="00BF7B00">
      <w:pPr>
        <w:widowControl w:val="0"/>
        <w:tabs>
          <w:tab w:val="left" w:pos="1216"/>
        </w:tabs>
        <w:autoSpaceDE w:val="0"/>
        <w:autoSpaceDN w:val="0"/>
        <w:spacing w:before="120" w:after="0" w:line="240" w:lineRule="auto"/>
        <w:jc w:val="both"/>
      </w:pPr>
      <w:r>
        <w:t>At</w:t>
      </w:r>
      <w:r w:rsidR="003E218A">
        <w:t xml:space="preserve"> </w:t>
      </w:r>
      <w:r w:rsidR="00D64B5A">
        <w:t xml:space="preserve">its </w:t>
      </w:r>
      <w:r w:rsidR="003E218A">
        <w:t xml:space="preserve">third Universal Periodic Review </w:t>
      </w:r>
      <w:r w:rsidR="003F6F45">
        <w:t>in 2019</w:t>
      </w:r>
      <w:r w:rsidR="003E218A">
        <w:t>,</w:t>
      </w:r>
      <w:r w:rsidR="003F6F45">
        <w:t xml:space="preserve"> Cyprus accepted the recommendations to invest more resources in the training of lawyers, prosecutors and judges in specific knowledge on violence against women, the needs and rights of victims and the legal framework on violence against wom</w:t>
      </w:r>
      <w:r w:rsidR="00D93DE9">
        <w:t>en (</w:t>
      </w:r>
      <w:hyperlink r:id="rId12" w:history="1">
        <w:r w:rsidR="003F6F45" w:rsidRPr="00F5078D">
          <w:rPr>
            <w:rStyle w:val="Hyperlink"/>
          </w:rPr>
          <w:t>A/HRC/41/15/Add.1</w:t>
        </w:r>
      </w:hyperlink>
      <w:r w:rsidR="003F6F45">
        <w:t>, p</w:t>
      </w:r>
      <w:r w:rsidR="005427FA">
        <w:t xml:space="preserve">ara </w:t>
      </w:r>
      <w:r w:rsidR="003F6F45">
        <w:t>1</w:t>
      </w:r>
      <w:r w:rsidR="008C6C0F">
        <w:t>5</w:t>
      </w:r>
      <w:r w:rsidR="00142DBB">
        <w:t>;</w:t>
      </w:r>
      <w:r w:rsidR="008C6C0F">
        <w:t xml:space="preserve"> </w:t>
      </w:r>
      <w:hyperlink r:id="rId13" w:history="1">
        <w:r w:rsidR="00142DBB" w:rsidRPr="00F5078D">
          <w:rPr>
            <w:rStyle w:val="Hyperlink"/>
          </w:rPr>
          <w:t>A/HRC/41/15</w:t>
        </w:r>
      </w:hyperlink>
      <w:r w:rsidR="00142DBB">
        <w:t>, para</w:t>
      </w:r>
      <w:r w:rsidR="008C6C0F">
        <w:t xml:space="preserve"> 139.28</w:t>
      </w:r>
      <w:r w:rsidR="003F6F45">
        <w:t>)</w:t>
      </w:r>
      <w:r w:rsidR="00D93DE9">
        <w:t>.</w:t>
      </w:r>
    </w:p>
    <w:p w14:paraId="6698771C" w14:textId="77777777" w:rsidR="007D4337" w:rsidRDefault="007D4337" w:rsidP="007D4337">
      <w:pPr>
        <w:pStyle w:val="ListParagraph"/>
        <w:widowControl w:val="0"/>
        <w:numPr>
          <w:ilvl w:val="0"/>
          <w:numId w:val="5"/>
        </w:numPr>
        <w:tabs>
          <w:tab w:val="left" w:pos="1216"/>
        </w:tabs>
        <w:autoSpaceDE w:val="0"/>
        <w:autoSpaceDN w:val="0"/>
        <w:spacing w:before="120" w:after="0" w:line="240" w:lineRule="auto"/>
        <w:ind w:left="1215" w:right="239" w:hanging="360"/>
        <w:contextualSpacing w:val="0"/>
        <w:rPr>
          <w:i/>
        </w:rPr>
      </w:pPr>
      <w:r>
        <w:rPr>
          <w:i/>
        </w:rPr>
        <w:t>Digitalisation (e.g. use of digital technology, particularly electronic communication tools, within the justice system and with court users, including resilience of justice systems in COVID-19</w:t>
      </w:r>
      <w:r>
        <w:rPr>
          <w:i/>
          <w:spacing w:val="1"/>
        </w:rPr>
        <w:t xml:space="preserve"> </w:t>
      </w:r>
      <w:r>
        <w:rPr>
          <w:i/>
        </w:rPr>
        <w:t>pandemic)</w:t>
      </w:r>
      <w:r w:rsidR="00525DD2">
        <w:rPr>
          <w:rStyle w:val="FootnoteReference"/>
          <w:i/>
        </w:rPr>
        <w:footnoteReference w:id="4"/>
      </w:r>
      <w:r w:rsidR="00525DD2">
        <w:rPr>
          <w:i/>
        </w:rPr>
        <w:t xml:space="preserve"> </w:t>
      </w:r>
    </w:p>
    <w:p w14:paraId="021E6450" w14:textId="77777777" w:rsidR="007D4337" w:rsidRDefault="007D4337" w:rsidP="007D4337">
      <w:pPr>
        <w:pStyle w:val="ListParagraph"/>
        <w:widowControl w:val="0"/>
        <w:numPr>
          <w:ilvl w:val="0"/>
          <w:numId w:val="5"/>
        </w:numPr>
        <w:tabs>
          <w:tab w:val="left" w:pos="1217"/>
        </w:tabs>
        <w:autoSpaceDE w:val="0"/>
        <w:autoSpaceDN w:val="0"/>
        <w:spacing w:before="121" w:after="0" w:line="240" w:lineRule="auto"/>
        <w:ind w:left="1215" w:right="409" w:hanging="360"/>
        <w:contextualSpacing w:val="0"/>
        <w:rPr>
          <w:i/>
        </w:rPr>
      </w:pPr>
      <w:r>
        <w:rPr>
          <w:i/>
        </w:rPr>
        <w:t>Use of assessment tools and standards (e.g. ICT systems for case management, court statistics and their transparency, monitoring, evaluation, surveys among court users or legal</w:t>
      </w:r>
      <w:r>
        <w:rPr>
          <w:i/>
          <w:spacing w:val="-1"/>
        </w:rPr>
        <w:t xml:space="preserve"> </w:t>
      </w:r>
      <w:r>
        <w:rPr>
          <w:i/>
        </w:rPr>
        <w:t>professionals)</w:t>
      </w:r>
    </w:p>
    <w:p w14:paraId="62FAFD32" w14:textId="77777777" w:rsidR="007D4337" w:rsidRDefault="007D4337" w:rsidP="007D4337">
      <w:pPr>
        <w:pStyle w:val="ListParagraph"/>
        <w:widowControl w:val="0"/>
        <w:numPr>
          <w:ilvl w:val="0"/>
          <w:numId w:val="5"/>
        </w:numPr>
        <w:tabs>
          <w:tab w:val="left" w:pos="1217"/>
        </w:tabs>
        <w:autoSpaceDE w:val="0"/>
        <w:autoSpaceDN w:val="0"/>
        <w:spacing w:before="121" w:after="0" w:line="240" w:lineRule="auto"/>
        <w:ind w:left="1215" w:right="425" w:hanging="360"/>
        <w:contextualSpacing w:val="0"/>
        <w:rPr>
          <w:i/>
        </w:rPr>
      </w:pPr>
      <w:r>
        <w:rPr>
          <w:i/>
        </w:rPr>
        <w:t xml:space="preserve">Geographical distribution and number of courts/jurisdictions (“judicial map”) and their </w:t>
      </w:r>
      <w:r w:rsidR="0034541D">
        <w:rPr>
          <w:i/>
        </w:rPr>
        <w:t>specialization</w:t>
      </w:r>
    </w:p>
    <w:p w14:paraId="51D0407B" w14:textId="77777777" w:rsidR="0034541D" w:rsidRPr="0034541D" w:rsidRDefault="0034541D" w:rsidP="0034541D">
      <w:pPr>
        <w:widowControl w:val="0"/>
        <w:tabs>
          <w:tab w:val="left" w:pos="1217"/>
        </w:tabs>
        <w:autoSpaceDE w:val="0"/>
        <w:autoSpaceDN w:val="0"/>
        <w:spacing w:before="121" w:after="0" w:line="240" w:lineRule="auto"/>
        <w:ind w:right="425"/>
        <w:rPr>
          <w:i/>
        </w:rPr>
      </w:pPr>
    </w:p>
    <w:p w14:paraId="3D468CF2" w14:textId="77777777" w:rsidR="007D4337" w:rsidRDefault="007D4337" w:rsidP="007D4337">
      <w:pPr>
        <w:pStyle w:val="Heading2"/>
        <w:numPr>
          <w:ilvl w:val="0"/>
          <w:numId w:val="6"/>
        </w:numPr>
        <w:tabs>
          <w:tab w:val="left" w:pos="543"/>
          <w:tab w:val="left" w:pos="544"/>
        </w:tabs>
        <w:spacing w:before="118"/>
        <w:ind w:left="543"/>
      </w:pPr>
      <w:bookmarkStart w:id="5" w:name="C._Efficiency_of_the_justice_system4F"/>
      <w:bookmarkEnd w:id="5"/>
      <w:r>
        <w:lastRenderedPageBreak/>
        <w:t>Efficiency of the justice</w:t>
      </w:r>
      <w:r>
        <w:rPr>
          <w:spacing w:val="-8"/>
        </w:rPr>
        <w:t xml:space="preserve"> </w:t>
      </w:r>
      <w:r>
        <w:t>system</w:t>
      </w:r>
      <w:r w:rsidR="00525DD2">
        <w:rPr>
          <w:rStyle w:val="FootnoteReference"/>
        </w:rPr>
        <w:footnoteReference w:id="5"/>
      </w:r>
    </w:p>
    <w:p w14:paraId="5699E6B8" w14:textId="77777777" w:rsidR="007D4337" w:rsidRDefault="007D4337" w:rsidP="007D4337">
      <w:pPr>
        <w:pStyle w:val="ListParagraph"/>
        <w:widowControl w:val="0"/>
        <w:numPr>
          <w:ilvl w:val="0"/>
          <w:numId w:val="5"/>
        </w:numPr>
        <w:tabs>
          <w:tab w:val="left" w:pos="1217"/>
        </w:tabs>
        <w:autoSpaceDE w:val="0"/>
        <w:autoSpaceDN w:val="0"/>
        <w:spacing w:before="120" w:after="0" w:line="240" w:lineRule="auto"/>
        <w:ind w:hanging="362"/>
        <w:contextualSpacing w:val="0"/>
        <w:rPr>
          <w:i/>
        </w:rPr>
      </w:pPr>
      <w:r>
        <w:rPr>
          <w:i/>
        </w:rPr>
        <w:t>Length of</w:t>
      </w:r>
      <w:r>
        <w:rPr>
          <w:i/>
          <w:spacing w:val="-2"/>
        </w:rPr>
        <w:t xml:space="preserve"> </w:t>
      </w:r>
      <w:r>
        <w:rPr>
          <w:i/>
        </w:rPr>
        <w:t>proceedings</w:t>
      </w:r>
    </w:p>
    <w:p w14:paraId="693513A2" w14:textId="77777777" w:rsidR="00525DD2" w:rsidRDefault="00525DD2" w:rsidP="00EB610B"/>
    <w:p w14:paraId="343F122E" w14:textId="77777777" w:rsidR="007D4337" w:rsidRDefault="007D4337" w:rsidP="007D4337">
      <w:pPr>
        <w:pStyle w:val="Heading2"/>
        <w:spacing w:before="33"/>
        <w:ind w:left="116" w:firstLine="0"/>
      </w:pPr>
      <w:r>
        <w:t>Other – please specify</w:t>
      </w:r>
    </w:p>
    <w:p w14:paraId="72A950DD" w14:textId="7853BB29" w:rsidR="00142DBB" w:rsidRDefault="00796AE1" w:rsidP="00BF7B00">
      <w:pPr>
        <w:jc w:val="both"/>
      </w:pPr>
      <w:r w:rsidRPr="00BF7B00">
        <w:rPr>
          <w:i/>
          <w:lang w:val="en-GB"/>
        </w:rPr>
        <w:t>Transitional justice</w:t>
      </w:r>
      <w:r w:rsidR="00F5078D">
        <w:rPr>
          <w:lang w:val="en-GB"/>
        </w:rPr>
        <w:t xml:space="preserve"> - </w:t>
      </w:r>
      <w:r w:rsidR="00142DBB" w:rsidRPr="00142DBB">
        <w:t xml:space="preserve">In its 2018 concluding observations, CEDAW </w:t>
      </w:r>
      <w:r w:rsidR="00142DBB">
        <w:t xml:space="preserve">commended </w:t>
      </w:r>
      <w:r w:rsidR="003F4AAA">
        <w:t xml:space="preserve">Cyprus </w:t>
      </w:r>
      <w:r w:rsidR="00142DBB">
        <w:t xml:space="preserve">on its commitment to Security Council resolution 1325 (200) and subsequent </w:t>
      </w:r>
      <w:r w:rsidR="00BE77C5">
        <w:t>related resolutions</w:t>
      </w:r>
      <w:r w:rsidR="00142DBB">
        <w:t>, but noted with concern that women ha</w:t>
      </w:r>
      <w:r w:rsidR="00BF7B00">
        <w:t>d</w:t>
      </w:r>
      <w:r w:rsidR="00142DBB">
        <w:t xml:space="preserve"> generally been underrepresented and </w:t>
      </w:r>
      <w:r w:rsidR="00BF7B00">
        <w:t>we</w:t>
      </w:r>
      <w:r w:rsidR="00142DBB">
        <w:t xml:space="preserve">re not actively or meaningfully participating in peace negotiation efforts. CEDAW recommended that </w:t>
      </w:r>
      <w:r w:rsidR="003F4AAA">
        <w:t xml:space="preserve">Cyprus </w:t>
      </w:r>
      <w:r w:rsidR="00142DBB">
        <w:t xml:space="preserve">give the highest priority to the meaningful and inclusive participation of women at all stages of the peace process and transitional justice processes </w:t>
      </w:r>
      <w:r w:rsidR="00142DBB" w:rsidRPr="00142DBB">
        <w:t>(</w:t>
      </w:r>
      <w:hyperlink r:id="rId14" w:history="1">
        <w:r w:rsidR="00142DBB" w:rsidRPr="003F4AAA">
          <w:rPr>
            <w:rStyle w:val="Hyperlink"/>
          </w:rPr>
          <w:t>CEDAW/C/CYP/CO/8</w:t>
        </w:r>
      </w:hyperlink>
      <w:r w:rsidR="00142DBB" w:rsidRPr="00142DBB">
        <w:t>, para</w:t>
      </w:r>
      <w:r w:rsidR="00142DBB" w:rsidRPr="00BF7B00">
        <w:t xml:space="preserve"> 10-11)</w:t>
      </w:r>
      <w:r w:rsidR="004B2C42">
        <w:t xml:space="preserve">. </w:t>
      </w:r>
      <w:r w:rsidR="00E86774">
        <w:t xml:space="preserve">OHCHR’s annual reports on the question of human rights in Cyprus continued to note the importance </w:t>
      </w:r>
      <w:r w:rsidR="00142DBB">
        <w:t xml:space="preserve">of ensuring meaningful women’s participation and a gender perspective in </w:t>
      </w:r>
      <w:r w:rsidR="00D93DE9">
        <w:t xml:space="preserve"> the peace process </w:t>
      </w:r>
      <w:r w:rsidR="00142DBB">
        <w:t>(</w:t>
      </w:r>
      <w:hyperlink r:id="rId15" w:history="1">
        <w:r w:rsidR="00142DBB" w:rsidRPr="00F5078D">
          <w:rPr>
            <w:rStyle w:val="Hyperlink"/>
          </w:rPr>
          <w:t>A/HRC/37/22</w:t>
        </w:r>
      </w:hyperlink>
      <w:r w:rsidR="00142DBB">
        <w:t xml:space="preserve">; </w:t>
      </w:r>
      <w:hyperlink r:id="rId16" w:history="1">
        <w:r w:rsidR="00142DBB" w:rsidRPr="00F5078D">
          <w:rPr>
            <w:rStyle w:val="Hyperlink"/>
          </w:rPr>
          <w:t>A/HRC/40/22</w:t>
        </w:r>
      </w:hyperlink>
      <w:r w:rsidR="00142DBB">
        <w:t xml:space="preserve">; </w:t>
      </w:r>
      <w:hyperlink r:id="rId17" w:history="1">
        <w:r w:rsidR="00142DBB" w:rsidRPr="00F5078D">
          <w:rPr>
            <w:rStyle w:val="Hyperlink"/>
          </w:rPr>
          <w:t>A/HRC/43/22</w:t>
        </w:r>
      </w:hyperlink>
      <w:r w:rsidR="00142DBB">
        <w:t>)</w:t>
      </w:r>
      <w:r w:rsidR="00D93DE9">
        <w:t>.</w:t>
      </w:r>
    </w:p>
    <w:p w14:paraId="64902C8A" w14:textId="49D105A9" w:rsidR="00920BCC" w:rsidRDefault="00920BCC" w:rsidP="0072165E">
      <w:pPr>
        <w:jc w:val="both"/>
        <w:rPr>
          <w:b/>
          <w:i/>
          <w:lang w:val="en-GB"/>
        </w:rPr>
      </w:pPr>
      <w:r w:rsidRPr="0035487C">
        <w:rPr>
          <w:i/>
        </w:rPr>
        <w:t>Redress, including compensation and rehabilitation</w:t>
      </w:r>
      <w:r w:rsidR="00481172">
        <w:t xml:space="preserve"> </w:t>
      </w:r>
      <w:r w:rsidR="0034541D">
        <w:t>- I</w:t>
      </w:r>
      <w:r w:rsidR="00735125">
        <w:rPr>
          <w:lang w:val="en-GB"/>
        </w:rPr>
        <w:t>n its 2019 concluding observations, t</w:t>
      </w:r>
      <w:r w:rsidRPr="00920BCC">
        <w:rPr>
          <w:lang w:val="en-GB"/>
        </w:rPr>
        <w:t xml:space="preserve">he </w:t>
      </w:r>
      <w:r w:rsidR="0034541D">
        <w:rPr>
          <w:lang w:val="en-GB"/>
        </w:rPr>
        <w:t xml:space="preserve">UN </w:t>
      </w:r>
      <w:r w:rsidRPr="00920BCC">
        <w:rPr>
          <w:lang w:val="en-GB"/>
        </w:rPr>
        <w:t xml:space="preserve">Committee against Torture </w:t>
      </w:r>
      <w:r w:rsidR="003A4563">
        <w:rPr>
          <w:lang w:val="en-GB"/>
        </w:rPr>
        <w:t>expressed concern about the lack of data on redress and compensation provided to victims of domestic violence,</w:t>
      </w:r>
      <w:r w:rsidR="003A4563" w:rsidRPr="0032630D">
        <w:rPr>
          <w:lang w:val="en-GB"/>
        </w:rPr>
        <w:t xml:space="preserve"> and </w:t>
      </w:r>
      <w:r w:rsidR="000C5816" w:rsidRPr="0032630D">
        <w:rPr>
          <w:lang w:val="en-GB"/>
        </w:rPr>
        <w:t xml:space="preserve">the lack of statistical data on violence against women, including reparations provided to victims. It </w:t>
      </w:r>
      <w:r w:rsidR="003A4563" w:rsidRPr="0032630D">
        <w:rPr>
          <w:lang w:val="en-GB"/>
        </w:rPr>
        <w:t xml:space="preserve">recommended that </w:t>
      </w:r>
      <w:r w:rsidR="003F4AAA">
        <w:rPr>
          <w:lang w:val="en-GB"/>
        </w:rPr>
        <w:t xml:space="preserve">Cyprus </w:t>
      </w:r>
      <w:r w:rsidR="000C5816" w:rsidRPr="0032630D">
        <w:rPr>
          <w:lang w:val="en-GB"/>
        </w:rPr>
        <w:t>enforce the existing legal infrastructure to ensure that victims have access to appropriate redress, including compensation and other reparations.</w:t>
      </w:r>
      <w:r w:rsidR="003A4563" w:rsidRPr="0032630D">
        <w:rPr>
          <w:lang w:val="en-GB"/>
        </w:rPr>
        <w:t xml:space="preserve"> </w:t>
      </w:r>
      <w:r w:rsidR="000C5816">
        <w:rPr>
          <w:lang w:val="en-GB"/>
        </w:rPr>
        <w:t>While welcoming the work of the bicommunal Committee on Missing Persons in Cyprus, the Committee</w:t>
      </w:r>
      <w:r w:rsidR="004B2C42">
        <w:rPr>
          <w:lang w:val="en-GB"/>
        </w:rPr>
        <w:t xml:space="preserve"> also</w:t>
      </w:r>
      <w:r w:rsidR="000C5816">
        <w:rPr>
          <w:lang w:val="en-GB"/>
        </w:rPr>
        <w:t xml:space="preserve"> remained concerned about lack of information </w:t>
      </w:r>
      <w:r w:rsidR="004B2C42">
        <w:rPr>
          <w:lang w:val="en-GB"/>
        </w:rPr>
        <w:t xml:space="preserve">on </w:t>
      </w:r>
      <w:r w:rsidR="000C5816">
        <w:rPr>
          <w:lang w:val="en-GB"/>
        </w:rPr>
        <w:t xml:space="preserve">redress afforded to relatives of victims and measures taken to investigate cases of missing persons and prosecute those responsible. It expressed concern that the Committee on Missing Persons in Cyprus </w:t>
      </w:r>
      <w:r w:rsidR="004B2C42">
        <w:rPr>
          <w:lang w:val="en-GB"/>
        </w:rPr>
        <w:t>was</w:t>
      </w:r>
      <w:r w:rsidR="000C5816">
        <w:rPr>
          <w:lang w:val="en-GB"/>
        </w:rPr>
        <w:t xml:space="preserve"> not empowered to grant redress, and that the overall approach </w:t>
      </w:r>
      <w:r w:rsidR="004B2C42">
        <w:rPr>
          <w:lang w:val="en-GB"/>
        </w:rPr>
        <w:t>was</w:t>
      </w:r>
      <w:r w:rsidR="000C5816">
        <w:rPr>
          <w:lang w:val="en-GB"/>
        </w:rPr>
        <w:t xml:space="preserve"> humanitarian rather than rights-based.</w:t>
      </w:r>
      <w:r w:rsidR="0035487C">
        <w:rPr>
          <w:lang w:val="en-GB"/>
        </w:rPr>
        <w:t xml:space="preserve"> </w:t>
      </w:r>
      <w:r w:rsidR="000C5816">
        <w:rPr>
          <w:lang w:val="en-GB"/>
        </w:rPr>
        <w:t>The Committee moreover</w:t>
      </w:r>
      <w:r w:rsidR="002424AF">
        <w:rPr>
          <w:lang w:val="en-GB"/>
        </w:rPr>
        <w:t xml:space="preserve"> was</w:t>
      </w:r>
      <w:r w:rsidRPr="00920BCC">
        <w:rPr>
          <w:lang w:val="en-GB"/>
        </w:rPr>
        <w:t xml:space="preserve"> concerned </w:t>
      </w:r>
      <w:r w:rsidR="002424AF">
        <w:rPr>
          <w:lang w:val="en-GB"/>
        </w:rPr>
        <w:t>that current laws and practices do not make available effective reparative measures for victims of torture and ill-treatment. It expressed concern about</w:t>
      </w:r>
      <w:r w:rsidRPr="00920BCC">
        <w:t xml:space="preserve"> </w:t>
      </w:r>
      <w:r w:rsidRPr="00920BCC">
        <w:rPr>
          <w:lang w:val="en-GB"/>
        </w:rPr>
        <w:t>the lack of compensatory or rehabilitation measures provided through civil action initiated by victims</w:t>
      </w:r>
      <w:r w:rsidR="002424AF">
        <w:rPr>
          <w:lang w:val="en-GB"/>
        </w:rPr>
        <w:t>, and the lack of specific rehabilitation programmes for victims</w:t>
      </w:r>
      <w:r w:rsidRPr="00920BCC">
        <w:rPr>
          <w:lang w:val="en-GB"/>
        </w:rPr>
        <w:t xml:space="preserve">. The Committee </w:t>
      </w:r>
      <w:r w:rsidR="003A4563">
        <w:rPr>
          <w:lang w:val="en-GB"/>
        </w:rPr>
        <w:t>was also</w:t>
      </w:r>
      <w:r w:rsidR="003A4563" w:rsidRPr="00920BCC">
        <w:rPr>
          <w:lang w:val="en-GB"/>
        </w:rPr>
        <w:t xml:space="preserve"> </w:t>
      </w:r>
      <w:r w:rsidRPr="00920BCC">
        <w:rPr>
          <w:lang w:val="en-GB"/>
        </w:rPr>
        <w:t>concerned about the lack of provisions on redress for victims of torture and ill-treatment in Law 9 (I)/2006, the lack of specifically designed rehabilitation programmes for victims of torture and ill-treatment, the lack of long-term rehabilitation for victims</w:t>
      </w:r>
      <w:r w:rsidR="002424AF">
        <w:rPr>
          <w:lang w:val="en-GB"/>
        </w:rPr>
        <w:t xml:space="preserve">, and </w:t>
      </w:r>
      <w:r w:rsidRPr="00920BCC">
        <w:rPr>
          <w:lang w:val="en-GB"/>
        </w:rPr>
        <w:t>the lack of protective measures and diverse forms of redress (restitution, satisfaction, restoration of dignity and reputation, guarantees of non-repetition) available to victims and their families unde</w:t>
      </w:r>
      <w:r w:rsidR="00D93DE9">
        <w:rPr>
          <w:lang w:val="en-GB"/>
        </w:rPr>
        <w:t>r Law 9 (I)/2006 and other laws (</w:t>
      </w:r>
      <w:hyperlink r:id="rId18" w:history="1">
        <w:r w:rsidRPr="00920BCC">
          <w:rPr>
            <w:rStyle w:val="Hyperlink"/>
          </w:rPr>
          <w:t>CAT/C/CYP/CO/5</w:t>
        </w:r>
      </w:hyperlink>
      <w:r w:rsidRPr="00920BCC">
        <w:rPr>
          <w:lang w:val="en-GB"/>
        </w:rPr>
        <w:t>, para</w:t>
      </w:r>
      <w:r w:rsidR="003A4563">
        <w:rPr>
          <w:lang w:val="en-GB"/>
        </w:rPr>
        <w:t xml:space="preserve"> 24-25,</w:t>
      </w:r>
      <w:r w:rsidR="003A4563" w:rsidRPr="00E86774">
        <w:rPr>
          <w:lang w:val="en-GB"/>
        </w:rPr>
        <w:t xml:space="preserve"> </w:t>
      </w:r>
      <w:r w:rsidR="000C5816" w:rsidRPr="00E86774">
        <w:rPr>
          <w:lang w:val="en-GB"/>
        </w:rPr>
        <w:t>40,</w:t>
      </w:r>
      <w:r w:rsidR="000C5816" w:rsidRPr="00E86774">
        <w:rPr>
          <w:i/>
          <w:lang w:val="en-GB"/>
        </w:rPr>
        <w:t xml:space="preserve"> </w:t>
      </w:r>
      <w:r w:rsidR="003A4563" w:rsidRPr="00E86774">
        <w:rPr>
          <w:lang w:val="en-GB"/>
        </w:rPr>
        <w:t>44</w:t>
      </w:r>
      <w:r w:rsidRPr="00920BCC">
        <w:rPr>
          <w:lang w:val="en-GB"/>
        </w:rPr>
        <w:t>)</w:t>
      </w:r>
      <w:r w:rsidR="00D93DE9">
        <w:rPr>
          <w:lang w:val="en-GB"/>
        </w:rPr>
        <w:t>.</w:t>
      </w:r>
    </w:p>
    <w:p w14:paraId="0A098686" w14:textId="77777777" w:rsidR="007D4337" w:rsidRDefault="007D4337" w:rsidP="007D4337">
      <w:pPr>
        <w:pStyle w:val="BodyText"/>
        <w:spacing w:before="7"/>
        <w:ind w:left="0" w:firstLine="0"/>
        <w:rPr>
          <w:b/>
        </w:rPr>
      </w:pPr>
    </w:p>
    <w:p w14:paraId="2A7A74BC" w14:textId="77777777" w:rsidR="007D4337" w:rsidRDefault="007D4337" w:rsidP="002D5358">
      <w:pPr>
        <w:pStyle w:val="ListParagraph"/>
        <w:widowControl w:val="0"/>
        <w:numPr>
          <w:ilvl w:val="0"/>
          <w:numId w:val="7"/>
        </w:numPr>
        <w:shd w:val="clear" w:color="auto" w:fill="E7E6E6" w:themeFill="background2"/>
        <w:tabs>
          <w:tab w:val="left" w:pos="480"/>
        </w:tabs>
        <w:autoSpaceDE w:val="0"/>
        <w:autoSpaceDN w:val="0"/>
        <w:spacing w:after="0" w:line="240" w:lineRule="auto"/>
        <w:ind w:left="479" w:hanging="364"/>
        <w:contextualSpacing w:val="0"/>
        <w:rPr>
          <w:b/>
        </w:rPr>
      </w:pPr>
      <w:bookmarkStart w:id="6" w:name="II._Anti-corruption_framework"/>
      <w:bookmarkEnd w:id="6"/>
      <w:r>
        <w:rPr>
          <w:b/>
        </w:rPr>
        <w:t>Anti-corruption</w:t>
      </w:r>
      <w:r>
        <w:rPr>
          <w:b/>
          <w:spacing w:val="-2"/>
        </w:rPr>
        <w:t xml:space="preserve"> </w:t>
      </w:r>
      <w:r>
        <w:rPr>
          <w:b/>
        </w:rPr>
        <w:t>framework</w:t>
      </w:r>
    </w:p>
    <w:p w14:paraId="36DD10A9" w14:textId="77777777" w:rsidR="007D4337" w:rsidRDefault="007D4337" w:rsidP="007D4337">
      <w:pPr>
        <w:pStyle w:val="BodyText"/>
        <w:spacing w:before="1"/>
        <w:ind w:left="0" w:firstLine="0"/>
        <w:rPr>
          <w:b/>
          <w:i w:val="0"/>
          <w:sz w:val="19"/>
        </w:rPr>
      </w:pPr>
    </w:p>
    <w:p w14:paraId="59D4FE5B" w14:textId="77777777" w:rsidR="007D4337" w:rsidRPr="00EB610B" w:rsidRDefault="007D4337" w:rsidP="001F1C76">
      <w:pPr>
        <w:pStyle w:val="ListParagraph"/>
        <w:widowControl w:val="0"/>
        <w:numPr>
          <w:ilvl w:val="0"/>
          <w:numId w:val="4"/>
        </w:numPr>
        <w:tabs>
          <w:tab w:val="left" w:pos="543"/>
          <w:tab w:val="left" w:pos="545"/>
        </w:tabs>
        <w:autoSpaceDE w:val="0"/>
        <w:autoSpaceDN w:val="0"/>
        <w:spacing w:before="20" w:after="0" w:line="240" w:lineRule="auto"/>
        <w:ind w:hanging="429"/>
        <w:contextualSpacing w:val="0"/>
        <w:rPr>
          <w:b/>
          <w:i/>
        </w:rPr>
      </w:pPr>
      <w:bookmarkStart w:id="7" w:name="A._The_institutional_framework_capacity_"/>
      <w:bookmarkEnd w:id="7"/>
      <w:r w:rsidRPr="00EB610B">
        <w:rPr>
          <w:b/>
          <w:i/>
        </w:rPr>
        <w:t>The</w:t>
      </w:r>
      <w:r w:rsidRPr="00EB610B">
        <w:rPr>
          <w:b/>
          <w:i/>
          <w:spacing w:val="4"/>
        </w:rPr>
        <w:t xml:space="preserve"> </w:t>
      </w:r>
      <w:r w:rsidRPr="00EB610B">
        <w:rPr>
          <w:b/>
          <w:i/>
        </w:rPr>
        <w:t>institutional</w:t>
      </w:r>
      <w:r w:rsidRPr="00EB610B">
        <w:rPr>
          <w:b/>
          <w:i/>
          <w:spacing w:val="9"/>
        </w:rPr>
        <w:t xml:space="preserve"> </w:t>
      </w:r>
      <w:r w:rsidRPr="00EB610B">
        <w:rPr>
          <w:b/>
          <w:i/>
        </w:rPr>
        <w:t>framework</w:t>
      </w:r>
      <w:r w:rsidRPr="00EB610B">
        <w:rPr>
          <w:b/>
          <w:i/>
          <w:spacing w:val="7"/>
        </w:rPr>
        <w:t xml:space="preserve"> </w:t>
      </w:r>
      <w:r w:rsidRPr="00EB610B">
        <w:rPr>
          <w:b/>
          <w:i/>
        </w:rPr>
        <w:t>capacity</w:t>
      </w:r>
      <w:r w:rsidRPr="00EB610B">
        <w:rPr>
          <w:b/>
          <w:i/>
          <w:spacing w:val="7"/>
        </w:rPr>
        <w:t xml:space="preserve"> </w:t>
      </w:r>
      <w:r w:rsidRPr="00EB610B">
        <w:rPr>
          <w:b/>
          <w:i/>
        </w:rPr>
        <w:t>to</w:t>
      </w:r>
      <w:r w:rsidRPr="00EB610B">
        <w:rPr>
          <w:b/>
          <w:i/>
          <w:spacing w:val="9"/>
        </w:rPr>
        <w:t xml:space="preserve"> </w:t>
      </w:r>
      <w:r w:rsidRPr="00EB610B">
        <w:rPr>
          <w:b/>
          <w:i/>
        </w:rPr>
        <w:t>fight</w:t>
      </w:r>
      <w:r w:rsidRPr="00EB610B">
        <w:rPr>
          <w:b/>
          <w:i/>
          <w:spacing w:val="6"/>
        </w:rPr>
        <w:t xml:space="preserve"> </w:t>
      </w:r>
      <w:r w:rsidRPr="00EB610B">
        <w:rPr>
          <w:b/>
          <w:i/>
        </w:rPr>
        <w:t>against</w:t>
      </w:r>
      <w:r w:rsidRPr="00EB610B">
        <w:rPr>
          <w:b/>
          <w:i/>
          <w:spacing w:val="8"/>
        </w:rPr>
        <w:t xml:space="preserve"> </w:t>
      </w:r>
      <w:r w:rsidRPr="00EB610B">
        <w:rPr>
          <w:b/>
          <w:i/>
        </w:rPr>
        <w:t>corruption</w:t>
      </w:r>
      <w:r w:rsidRPr="00EB610B">
        <w:rPr>
          <w:b/>
          <w:i/>
          <w:spacing w:val="9"/>
        </w:rPr>
        <w:t xml:space="preserve"> </w:t>
      </w:r>
      <w:r w:rsidRPr="00EB610B">
        <w:rPr>
          <w:b/>
          <w:i/>
        </w:rPr>
        <w:t>(prevention</w:t>
      </w:r>
      <w:r w:rsidRPr="00EB610B">
        <w:rPr>
          <w:b/>
          <w:i/>
          <w:spacing w:val="6"/>
        </w:rPr>
        <w:t xml:space="preserve"> </w:t>
      </w:r>
      <w:r w:rsidRPr="00EB610B">
        <w:rPr>
          <w:b/>
          <w:i/>
        </w:rPr>
        <w:t>and</w:t>
      </w:r>
      <w:r w:rsidRPr="00EB610B">
        <w:rPr>
          <w:b/>
          <w:i/>
          <w:spacing w:val="6"/>
        </w:rPr>
        <w:t xml:space="preserve"> </w:t>
      </w:r>
      <w:r w:rsidRPr="00EB610B">
        <w:rPr>
          <w:b/>
          <w:i/>
        </w:rPr>
        <w:t>investigation/ prosecution)</w:t>
      </w:r>
    </w:p>
    <w:p w14:paraId="5B2ED687" w14:textId="77777777" w:rsidR="007D4337" w:rsidRDefault="007D4337" w:rsidP="007D4337">
      <w:pPr>
        <w:pStyle w:val="ListParagraph"/>
        <w:widowControl w:val="0"/>
        <w:numPr>
          <w:ilvl w:val="0"/>
          <w:numId w:val="5"/>
        </w:numPr>
        <w:tabs>
          <w:tab w:val="left" w:pos="1217"/>
        </w:tabs>
        <w:autoSpaceDE w:val="0"/>
        <w:autoSpaceDN w:val="0"/>
        <w:spacing w:before="137" w:after="0" w:line="252" w:lineRule="auto"/>
        <w:ind w:right="125"/>
        <w:contextualSpacing w:val="0"/>
        <w:rPr>
          <w:i/>
        </w:rPr>
      </w:pPr>
      <w:r>
        <w:rPr>
          <w:i/>
        </w:rPr>
        <w:t>List of relevant authorities (e.g. national agencies, bodies) in charge of prevention detection, investigation and prosecution of corruption. Please indicate the resources allocated to these (the human, financial, legal, and practical resources as relevant), e.g. in</w:t>
      </w:r>
      <w:bookmarkStart w:id="8" w:name="B._Prevention"/>
      <w:bookmarkEnd w:id="8"/>
      <w:r>
        <w:rPr>
          <w:i/>
        </w:rPr>
        <w:t xml:space="preserve"> table</w:t>
      </w:r>
      <w:r>
        <w:rPr>
          <w:i/>
          <w:spacing w:val="-1"/>
        </w:rPr>
        <w:t xml:space="preserve"> </w:t>
      </w:r>
      <w:r>
        <w:rPr>
          <w:i/>
        </w:rPr>
        <w:t>format.</w:t>
      </w:r>
    </w:p>
    <w:p w14:paraId="2EE8E158" w14:textId="77777777" w:rsidR="007D4337" w:rsidRDefault="007D4337" w:rsidP="007D4337">
      <w:pPr>
        <w:pStyle w:val="Heading2"/>
        <w:numPr>
          <w:ilvl w:val="0"/>
          <w:numId w:val="4"/>
        </w:numPr>
        <w:tabs>
          <w:tab w:val="left" w:pos="544"/>
          <w:tab w:val="left" w:pos="545"/>
        </w:tabs>
        <w:spacing w:before="111"/>
      </w:pPr>
      <w:r>
        <w:lastRenderedPageBreak/>
        <w:t>Prevention</w:t>
      </w:r>
    </w:p>
    <w:p w14:paraId="3719C0D0" w14:textId="77777777" w:rsidR="007D4337" w:rsidRDefault="007D4337" w:rsidP="007D4337">
      <w:pPr>
        <w:pStyle w:val="ListParagraph"/>
        <w:widowControl w:val="0"/>
        <w:numPr>
          <w:ilvl w:val="0"/>
          <w:numId w:val="5"/>
        </w:numPr>
        <w:tabs>
          <w:tab w:val="left" w:pos="1267"/>
        </w:tabs>
        <w:autoSpaceDE w:val="0"/>
        <w:autoSpaceDN w:val="0"/>
        <w:spacing w:before="113" w:after="0" w:line="240" w:lineRule="auto"/>
        <w:ind w:left="1266" w:hanging="411"/>
        <w:contextualSpacing w:val="0"/>
        <w:rPr>
          <w:i/>
        </w:rPr>
      </w:pPr>
      <w:r>
        <w:rPr>
          <w:i/>
        </w:rPr>
        <w:t>Integrity framework including incompatibility rules (e.g.: revolving</w:t>
      </w:r>
      <w:r>
        <w:rPr>
          <w:i/>
          <w:spacing w:val="-9"/>
        </w:rPr>
        <w:t xml:space="preserve"> </w:t>
      </w:r>
      <w:r>
        <w:rPr>
          <w:i/>
        </w:rPr>
        <w:t>doors)</w:t>
      </w:r>
    </w:p>
    <w:p w14:paraId="7206CF37" w14:textId="77777777" w:rsidR="007D4337" w:rsidRDefault="007D4337" w:rsidP="007D4337">
      <w:pPr>
        <w:pStyle w:val="ListParagraph"/>
        <w:widowControl w:val="0"/>
        <w:numPr>
          <w:ilvl w:val="0"/>
          <w:numId w:val="5"/>
        </w:numPr>
        <w:tabs>
          <w:tab w:val="left" w:pos="1217"/>
        </w:tabs>
        <w:autoSpaceDE w:val="0"/>
        <w:autoSpaceDN w:val="0"/>
        <w:spacing w:before="120" w:after="0" w:line="240" w:lineRule="auto"/>
        <w:ind w:right="411" w:hanging="360"/>
        <w:contextualSpacing w:val="0"/>
        <w:rPr>
          <w:i/>
        </w:rPr>
      </w:pPr>
      <w:r>
        <w:rPr>
          <w:i/>
        </w:rPr>
        <w:t>General transparency of public decision-making (including public access to information such as lobbying, asset disclosure rules and transparency of political party</w:t>
      </w:r>
      <w:r>
        <w:rPr>
          <w:i/>
          <w:spacing w:val="-26"/>
        </w:rPr>
        <w:t xml:space="preserve"> </w:t>
      </w:r>
      <w:r>
        <w:rPr>
          <w:i/>
        </w:rPr>
        <w:t>financing)</w:t>
      </w:r>
    </w:p>
    <w:p w14:paraId="0A486127" w14:textId="77777777" w:rsidR="007D4337" w:rsidRDefault="007D4337" w:rsidP="007D4337">
      <w:pPr>
        <w:pStyle w:val="ListParagraph"/>
        <w:widowControl w:val="0"/>
        <w:numPr>
          <w:ilvl w:val="0"/>
          <w:numId w:val="5"/>
        </w:numPr>
        <w:tabs>
          <w:tab w:val="left" w:pos="1217"/>
        </w:tabs>
        <w:autoSpaceDE w:val="0"/>
        <w:autoSpaceDN w:val="0"/>
        <w:spacing w:before="120" w:after="0" w:line="240" w:lineRule="auto"/>
        <w:contextualSpacing w:val="0"/>
        <w:rPr>
          <w:i/>
        </w:rPr>
      </w:pPr>
      <w:r>
        <w:rPr>
          <w:i/>
        </w:rPr>
        <w:t>Rules on preventing conflict of interests in the public</w:t>
      </w:r>
      <w:r>
        <w:rPr>
          <w:i/>
          <w:spacing w:val="-6"/>
        </w:rPr>
        <w:t xml:space="preserve"> </w:t>
      </w:r>
      <w:r>
        <w:rPr>
          <w:i/>
        </w:rPr>
        <w:t>sector</w:t>
      </w:r>
    </w:p>
    <w:p w14:paraId="15C3C580" w14:textId="77777777" w:rsidR="007D4337" w:rsidRDefault="007D4337" w:rsidP="007D4337">
      <w:pPr>
        <w:pStyle w:val="ListParagraph"/>
        <w:widowControl w:val="0"/>
        <w:numPr>
          <w:ilvl w:val="0"/>
          <w:numId w:val="5"/>
        </w:numPr>
        <w:tabs>
          <w:tab w:val="left" w:pos="1217"/>
        </w:tabs>
        <w:autoSpaceDE w:val="0"/>
        <w:autoSpaceDN w:val="0"/>
        <w:spacing w:before="121" w:after="0" w:line="240" w:lineRule="auto"/>
        <w:ind w:right="863" w:hanging="356"/>
        <w:contextualSpacing w:val="0"/>
        <w:rPr>
          <w:i/>
        </w:rPr>
      </w:pPr>
      <w:r>
        <w:rPr>
          <w:i/>
        </w:rPr>
        <w:t>Measures in place to ensure whistleblower protection and encourage reporting of corruption</w:t>
      </w:r>
    </w:p>
    <w:p w14:paraId="127C790C" w14:textId="77777777" w:rsidR="007D4337" w:rsidRDefault="007D4337" w:rsidP="007D4337">
      <w:pPr>
        <w:pStyle w:val="ListParagraph"/>
        <w:widowControl w:val="0"/>
        <w:numPr>
          <w:ilvl w:val="0"/>
          <w:numId w:val="5"/>
        </w:numPr>
        <w:tabs>
          <w:tab w:val="left" w:pos="1217"/>
        </w:tabs>
        <w:autoSpaceDE w:val="0"/>
        <w:autoSpaceDN w:val="0"/>
        <w:spacing w:before="120" w:after="0" w:line="240" w:lineRule="auto"/>
        <w:ind w:right="426" w:hanging="356"/>
        <w:contextualSpacing w:val="0"/>
        <w:rPr>
          <w:i/>
        </w:rPr>
      </w:pPr>
      <w:r>
        <w:rPr>
          <w:i/>
        </w:rPr>
        <w:t>List the sectors with high-risks of corruption in your Member State and list the relevant measures taken/envisaged for preventing corruption and conflict of interest in these sectors. (e.g. public procurement, healthcare,</w:t>
      </w:r>
      <w:r>
        <w:rPr>
          <w:i/>
          <w:spacing w:val="-3"/>
        </w:rPr>
        <w:t xml:space="preserve"> </w:t>
      </w:r>
      <w:r>
        <w:rPr>
          <w:i/>
        </w:rPr>
        <w:t>other).</w:t>
      </w:r>
    </w:p>
    <w:p w14:paraId="4C3C8804" w14:textId="77777777" w:rsidR="007D4337" w:rsidRDefault="007D4337" w:rsidP="007D4337">
      <w:pPr>
        <w:pStyle w:val="ListParagraph"/>
        <w:widowControl w:val="0"/>
        <w:numPr>
          <w:ilvl w:val="0"/>
          <w:numId w:val="5"/>
        </w:numPr>
        <w:tabs>
          <w:tab w:val="left" w:pos="1217"/>
        </w:tabs>
        <w:autoSpaceDE w:val="0"/>
        <w:autoSpaceDN w:val="0"/>
        <w:spacing w:before="118" w:after="0" w:line="240" w:lineRule="auto"/>
        <w:contextualSpacing w:val="0"/>
        <w:rPr>
          <w:i/>
        </w:rPr>
      </w:pPr>
      <w:r>
        <w:rPr>
          <w:i/>
        </w:rPr>
        <w:t>Measures taken to address corruption risks in the context of the COVID-19</w:t>
      </w:r>
      <w:r>
        <w:rPr>
          <w:i/>
          <w:spacing w:val="-22"/>
        </w:rPr>
        <w:t xml:space="preserve"> </w:t>
      </w:r>
      <w:r>
        <w:rPr>
          <w:i/>
        </w:rPr>
        <w:t>pandemic.</w:t>
      </w:r>
    </w:p>
    <w:p w14:paraId="493AE64E" w14:textId="77777777" w:rsidR="007D4337" w:rsidRDefault="007D4337" w:rsidP="007D4337">
      <w:pPr>
        <w:pStyle w:val="ListParagraph"/>
        <w:widowControl w:val="0"/>
        <w:numPr>
          <w:ilvl w:val="0"/>
          <w:numId w:val="5"/>
        </w:numPr>
        <w:tabs>
          <w:tab w:val="left" w:pos="1217"/>
        </w:tabs>
        <w:autoSpaceDE w:val="0"/>
        <w:autoSpaceDN w:val="0"/>
        <w:spacing w:before="121" w:after="0" w:line="240" w:lineRule="auto"/>
        <w:ind w:hanging="356"/>
        <w:contextualSpacing w:val="0"/>
        <w:rPr>
          <w:i/>
        </w:rPr>
      </w:pPr>
      <w:bookmarkStart w:id="9" w:name="C._Repressive_measures"/>
      <w:bookmarkEnd w:id="9"/>
      <w:r>
        <w:rPr>
          <w:i/>
        </w:rPr>
        <w:t>Any other relevant measures to prevent corruption in public and private</w:t>
      </w:r>
      <w:r>
        <w:rPr>
          <w:i/>
          <w:spacing w:val="-14"/>
        </w:rPr>
        <w:t xml:space="preserve"> </w:t>
      </w:r>
      <w:r>
        <w:rPr>
          <w:i/>
        </w:rPr>
        <w:t>sector</w:t>
      </w:r>
    </w:p>
    <w:p w14:paraId="73A22AE7" w14:textId="77777777" w:rsidR="007D4337" w:rsidRDefault="007D4337" w:rsidP="007D4337">
      <w:pPr>
        <w:pStyle w:val="Heading2"/>
        <w:numPr>
          <w:ilvl w:val="0"/>
          <w:numId w:val="4"/>
        </w:numPr>
        <w:tabs>
          <w:tab w:val="left" w:pos="543"/>
          <w:tab w:val="left" w:pos="545"/>
        </w:tabs>
        <w:ind w:hanging="429"/>
      </w:pPr>
      <w:r>
        <w:t>Repressive</w:t>
      </w:r>
      <w:r>
        <w:rPr>
          <w:spacing w:val="-1"/>
        </w:rPr>
        <w:t xml:space="preserve"> </w:t>
      </w:r>
      <w:r>
        <w:t>measures</w:t>
      </w:r>
    </w:p>
    <w:p w14:paraId="2F54E7B0" w14:textId="77777777" w:rsidR="007D4337" w:rsidRDefault="007D4337" w:rsidP="007D4337">
      <w:pPr>
        <w:pStyle w:val="ListParagraph"/>
        <w:widowControl w:val="0"/>
        <w:numPr>
          <w:ilvl w:val="0"/>
          <w:numId w:val="5"/>
        </w:numPr>
        <w:tabs>
          <w:tab w:val="left" w:pos="1217"/>
        </w:tabs>
        <w:autoSpaceDE w:val="0"/>
        <w:autoSpaceDN w:val="0"/>
        <w:spacing w:before="120" w:after="0" w:line="240" w:lineRule="auto"/>
        <w:contextualSpacing w:val="0"/>
        <w:rPr>
          <w:i/>
        </w:rPr>
      </w:pPr>
      <w:r>
        <w:rPr>
          <w:i/>
        </w:rPr>
        <w:t>Criminalisation of corruption and related</w:t>
      </w:r>
      <w:r>
        <w:rPr>
          <w:i/>
          <w:spacing w:val="-6"/>
        </w:rPr>
        <w:t xml:space="preserve"> </w:t>
      </w:r>
      <w:r>
        <w:rPr>
          <w:i/>
        </w:rPr>
        <w:t>offences</w:t>
      </w:r>
    </w:p>
    <w:p w14:paraId="674929DF" w14:textId="77777777" w:rsidR="007D4337" w:rsidRDefault="007D4337" w:rsidP="007D4337">
      <w:pPr>
        <w:pStyle w:val="ListParagraph"/>
        <w:widowControl w:val="0"/>
        <w:numPr>
          <w:ilvl w:val="0"/>
          <w:numId w:val="5"/>
        </w:numPr>
        <w:tabs>
          <w:tab w:val="left" w:pos="1217"/>
        </w:tabs>
        <w:autoSpaceDE w:val="0"/>
        <w:autoSpaceDN w:val="0"/>
        <w:spacing w:before="120" w:after="0" w:line="240" w:lineRule="auto"/>
        <w:ind w:right="341"/>
        <w:contextualSpacing w:val="0"/>
        <w:rPr>
          <w:i/>
        </w:rPr>
      </w:pPr>
      <w:r>
        <w:rPr>
          <w:i/>
        </w:rPr>
        <w:t>Data on investigation and application of sanctions for corruption offences (including for legal persons and high level and complex corruption cases) and their transparency, including as regards to the implementation of EU</w:t>
      </w:r>
      <w:r>
        <w:rPr>
          <w:i/>
          <w:spacing w:val="-12"/>
        </w:rPr>
        <w:t xml:space="preserve"> </w:t>
      </w:r>
      <w:r>
        <w:rPr>
          <w:i/>
        </w:rPr>
        <w:t>funds.</w:t>
      </w:r>
    </w:p>
    <w:p w14:paraId="7CD82F2B" w14:textId="77777777" w:rsidR="007D4337" w:rsidRDefault="007D4337" w:rsidP="00EB610B">
      <w:pPr>
        <w:pStyle w:val="ListParagraph"/>
        <w:widowControl w:val="0"/>
        <w:numPr>
          <w:ilvl w:val="0"/>
          <w:numId w:val="5"/>
        </w:numPr>
        <w:tabs>
          <w:tab w:val="left" w:pos="1217"/>
        </w:tabs>
        <w:autoSpaceDE w:val="0"/>
        <w:autoSpaceDN w:val="0"/>
        <w:spacing w:before="120" w:line="240" w:lineRule="auto"/>
        <w:ind w:left="1224" w:right="432" w:hanging="360"/>
        <w:contextualSpacing w:val="0"/>
        <w:rPr>
          <w:i/>
        </w:rPr>
      </w:pPr>
      <w:r>
        <w:rPr>
          <w:i/>
        </w:rPr>
        <w:t>Potential obstacles to investigation and prosecution of high-level and complex corruption cases (e.g. political immunity regulation)</w:t>
      </w:r>
    </w:p>
    <w:p w14:paraId="0C9678B0" w14:textId="6AC63EAB" w:rsidR="00876D36" w:rsidRDefault="00E86774" w:rsidP="0072165E">
      <w:pPr>
        <w:jc w:val="both"/>
      </w:pPr>
      <w:r>
        <w:t xml:space="preserve">At its third Universal Periodic Review in 2019, Cyprus accepted the recommendation </w:t>
      </w:r>
      <w:r w:rsidR="00B70985">
        <w:t>to strengthen anti-corruption laws and enact regulations and codes of conduct to govern lobby</w:t>
      </w:r>
      <w:r w:rsidR="00D93DE9">
        <w:t xml:space="preserve">ing and decision-making process </w:t>
      </w:r>
      <w:r>
        <w:t>(</w:t>
      </w:r>
      <w:hyperlink r:id="rId19" w:history="1">
        <w:r w:rsidR="0072165E" w:rsidRPr="00F5078D">
          <w:rPr>
            <w:rStyle w:val="Hyperlink"/>
          </w:rPr>
          <w:t>A/HRC/41/15/Add.1</w:t>
        </w:r>
      </w:hyperlink>
      <w:r w:rsidR="0072165E">
        <w:t xml:space="preserve">, para 30; </w:t>
      </w:r>
      <w:hyperlink r:id="rId20" w:history="1">
        <w:r w:rsidR="0072165E" w:rsidRPr="00F5078D">
          <w:rPr>
            <w:rStyle w:val="Hyperlink"/>
          </w:rPr>
          <w:t>A/HRC/41/15</w:t>
        </w:r>
      </w:hyperlink>
      <w:r w:rsidR="0072165E">
        <w:t>,</w:t>
      </w:r>
      <w:r w:rsidR="00481172">
        <w:t xml:space="preserve"> </w:t>
      </w:r>
      <w:r>
        <w:t>para 139.</w:t>
      </w:r>
      <w:r w:rsidR="00B70985">
        <w:t>95</w:t>
      </w:r>
      <w:r>
        <w:t>)</w:t>
      </w:r>
      <w:r w:rsidR="00D93DE9">
        <w:t>.</w:t>
      </w:r>
    </w:p>
    <w:p w14:paraId="03A0B95B" w14:textId="77777777" w:rsidR="007D4337" w:rsidRDefault="007D4337" w:rsidP="00E86774"/>
    <w:p w14:paraId="47F37B20" w14:textId="77777777" w:rsidR="007D4337" w:rsidRDefault="007D4337" w:rsidP="002D5358">
      <w:pPr>
        <w:pStyle w:val="ListParagraph"/>
        <w:widowControl w:val="0"/>
        <w:numPr>
          <w:ilvl w:val="0"/>
          <w:numId w:val="7"/>
        </w:numPr>
        <w:shd w:val="clear" w:color="auto" w:fill="E7E6E6" w:themeFill="background2"/>
        <w:tabs>
          <w:tab w:val="left" w:pos="523"/>
        </w:tabs>
        <w:autoSpaceDE w:val="0"/>
        <w:autoSpaceDN w:val="0"/>
        <w:spacing w:after="0" w:line="240" w:lineRule="auto"/>
        <w:ind w:left="522" w:hanging="406"/>
        <w:contextualSpacing w:val="0"/>
        <w:rPr>
          <w:b/>
        </w:rPr>
      </w:pPr>
      <w:bookmarkStart w:id="10" w:name="III._Media_pluralism"/>
      <w:bookmarkEnd w:id="10"/>
      <w:r>
        <w:rPr>
          <w:b/>
        </w:rPr>
        <w:t>Media</w:t>
      </w:r>
      <w:r>
        <w:rPr>
          <w:b/>
          <w:spacing w:val="-2"/>
        </w:rPr>
        <w:t xml:space="preserve"> </w:t>
      </w:r>
      <w:r>
        <w:rPr>
          <w:b/>
        </w:rPr>
        <w:t>pluralism</w:t>
      </w:r>
    </w:p>
    <w:p w14:paraId="62C754C3" w14:textId="77777777" w:rsidR="007D4337" w:rsidRDefault="007D4337" w:rsidP="007D4337">
      <w:pPr>
        <w:pStyle w:val="ListParagraph"/>
        <w:widowControl w:val="0"/>
        <w:numPr>
          <w:ilvl w:val="0"/>
          <w:numId w:val="3"/>
        </w:numPr>
        <w:tabs>
          <w:tab w:val="left" w:pos="544"/>
          <w:tab w:val="left" w:pos="545"/>
        </w:tabs>
        <w:autoSpaceDE w:val="0"/>
        <w:autoSpaceDN w:val="0"/>
        <w:spacing w:before="120" w:after="0" w:line="240" w:lineRule="auto"/>
        <w:contextualSpacing w:val="0"/>
        <w:rPr>
          <w:b/>
          <w:i/>
        </w:rPr>
      </w:pPr>
      <w:bookmarkStart w:id="11" w:name="A._Media__authorities_and_bodies5F"/>
      <w:bookmarkEnd w:id="11"/>
      <w:r>
        <w:rPr>
          <w:b/>
          <w:i/>
        </w:rPr>
        <w:t>Media authorities and</w:t>
      </w:r>
      <w:r>
        <w:rPr>
          <w:b/>
          <w:i/>
          <w:spacing w:val="-5"/>
        </w:rPr>
        <w:t xml:space="preserve"> </w:t>
      </w:r>
      <w:r>
        <w:rPr>
          <w:b/>
          <w:i/>
        </w:rPr>
        <w:t>bodies</w:t>
      </w:r>
      <w:r w:rsidR="00525DD2">
        <w:rPr>
          <w:rStyle w:val="FootnoteReference"/>
          <w:b/>
          <w:i/>
        </w:rPr>
        <w:footnoteReference w:id="6"/>
      </w:r>
    </w:p>
    <w:p w14:paraId="140BAA63" w14:textId="77777777" w:rsidR="007D4337" w:rsidRDefault="007D4337" w:rsidP="007D4337">
      <w:pPr>
        <w:pStyle w:val="ListParagraph"/>
        <w:widowControl w:val="0"/>
        <w:numPr>
          <w:ilvl w:val="0"/>
          <w:numId w:val="5"/>
        </w:numPr>
        <w:tabs>
          <w:tab w:val="left" w:pos="1217"/>
        </w:tabs>
        <w:autoSpaceDE w:val="0"/>
        <w:autoSpaceDN w:val="0"/>
        <w:spacing w:before="121" w:after="0" w:line="240" w:lineRule="auto"/>
        <w:ind w:left="1215" w:right="109" w:hanging="360"/>
        <w:contextualSpacing w:val="0"/>
        <w:rPr>
          <w:i/>
        </w:rPr>
      </w:pPr>
      <w:r>
        <w:rPr>
          <w:i/>
        </w:rPr>
        <w:t>Independence, enforcement powers and adequacy of resources of media regulatory authorities and</w:t>
      </w:r>
      <w:r>
        <w:rPr>
          <w:i/>
          <w:spacing w:val="-2"/>
        </w:rPr>
        <w:t xml:space="preserve"> </w:t>
      </w:r>
      <w:r>
        <w:rPr>
          <w:i/>
        </w:rPr>
        <w:t>bodies</w:t>
      </w:r>
    </w:p>
    <w:p w14:paraId="1E9460DF" w14:textId="77777777" w:rsidR="007D4337" w:rsidRDefault="007D4337" w:rsidP="007D4337">
      <w:pPr>
        <w:pStyle w:val="ListParagraph"/>
        <w:widowControl w:val="0"/>
        <w:numPr>
          <w:ilvl w:val="0"/>
          <w:numId w:val="5"/>
        </w:numPr>
        <w:tabs>
          <w:tab w:val="left" w:pos="1216"/>
        </w:tabs>
        <w:autoSpaceDE w:val="0"/>
        <w:autoSpaceDN w:val="0"/>
        <w:spacing w:before="120" w:after="0" w:line="240" w:lineRule="auto"/>
        <w:ind w:left="1215" w:right="107"/>
        <w:contextualSpacing w:val="0"/>
        <w:rPr>
          <w:i/>
        </w:rPr>
      </w:pPr>
      <w:r>
        <w:rPr>
          <w:i/>
        </w:rPr>
        <w:t>Conditions and procedures for the appointment and dismissal of the head / members of the collegiate body of media regulatory authorities and</w:t>
      </w:r>
      <w:r>
        <w:rPr>
          <w:i/>
          <w:spacing w:val="-11"/>
        </w:rPr>
        <w:t xml:space="preserve"> </w:t>
      </w:r>
      <w:r>
        <w:rPr>
          <w:i/>
        </w:rPr>
        <w:t>bodies</w:t>
      </w:r>
    </w:p>
    <w:p w14:paraId="3D551ABC" w14:textId="77777777" w:rsidR="007D4337" w:rsidRDefault="007D4337" w:rsidP="007D4337">
      <w:pPr>
        <w:pStyle w:val="ListParagraph"/>
        <w:widowControl w:val="0"/>
        <w:numPr>
          <w:ilvl w:val="0"/>
          <w:numId w:val="5"/>
        </w:numPr>
        <w:tabs>
          <w:tab w:val="left" w:pos="1216"/>
        </w:tabs>
        <w:autoSpaceDE w:val="0"/>
        <w:autoSpaceDN w:val="0"/>
        <w:spacing w:before="120" w:after="0" w:line="240" w:lineRule="auto"/>
        <w:ind w:left="1215"/>
        <w:contextualSpacing w:val="0"/>
        <w:rPr>
          <w:i/>
        </w:rPr>
      </w:pPr>
      <w:r>
        <w:rPr>
          <w:i/>
        </w:rPr>
        <w:t>Existence and functions of media councils or other self-regulatory</w:t>
      </w:r>
      <w:r>
        <w:rPr>
          <w:i/>
          <w:spacing w:val="-9"/>
        </w:rPr>
        <w:t xml:space="preserve"> </w:t>
      </w:r>
      <w:r>
        <w:rPr>
          <w:i/>
        </w:rPr>
        <w:t>bodies</w:t>
      </w:r>
    </w:p>
    <w:p w14:paraId="04EF8254" w14:textId="77777777" w:rsidR="007D4337" w:rsidRDefault="007D4337" w:rsidP="007D4337">
      <w:pPr>
        <w:pStyle w:val="BodyText"/>
        <w:spacing w:before="0"/>
        <w:ind w:left="0" w:firstLine="0"/>
        <w:rPr>
          <w:sz w:val="20"/>
        </w:rPr>
      </w:pPr>
    </w:p>
    <w:p w14:paraId="736796CC" w14:textId="77777777" w:rsidR="007D4337" w:rsidRDefault="007D4337" w:rsidP="007D4337">
      <w:pPr>
        <w:pStyle w:val="Heading2"/>
        <w:numPr>
          <w:ilvl w:val="0"/>
          <w:numId w:val="3"/>
        </w:numPr>
        <w:tabs>
          <w:tab w:val="left" w:pos="543"/>
          <w:tab w:val="left" w:pos="545"/>
        </w:tabs>
        <w:spacing w:before="33"/>
        <w:ind w:hanging="429"/>
      </w:pPr>
      <w:bookmarkStart w:id="12" w:name="B._Transparency_of_media_ownership_and_g"/>
      <w:bookmarkEnd w:id="12"/>
      <w:r>
        <w:t>Transparency of media ownership and government</w:t>
      </w:r>
      <w:r>
        <w:rPr>
          <w:spacing w:val="-12"/>
        </w:rPr>
        <w:t xml:space="preserve"> </w:t>
      </w:r>
      <w:r>
        <w:t>interference</w:t>
      </w:r>
    </w:p>
    <w:p w14:paraId="6810F87B" w14:textId="77777777" w:rsidR="007D4337" w:rsidRDefault="007D4337" w:rsidP="007D4337">
      <w:pPr>
        <w:pStyle w:val="ListParagraph"/>
        <w:widowControl w:val="0"/>
        <w:numPr>
          <w:ilvl w:val="0"/>
          <w:numId w:val="5"/>
        </w:numPr>
        <w:tabs>
          <w:tab w:val="left" w:pos="1217"/>
        </w:tabs>
        <w:autoSpaceDE w:val="0"/>
        <w:autoSpaceDN w:val="0"/>
        <w:spacing w:before="120" w:after="0" w:line="240" w:lineRule="auto"/>
        <w:ind w:right="110"/>
        <w:contextualSpacing w:val="0"/>
        <w:rPr>
          <w:i/>
        </w:rPr>
      </w:pPr>
      <w:r>
        <w:rPr>
          <w:i/>
        </w:rPr>
        <w:t>The transparent allocation of state advertising (including any rules regulating the</w:t>
      </w:r>
      <w:r w:rsidR="005E1FCA">
        <w:rPr>
          <w:i/>
        </w:rPr>
        <w:t xml:space="preserve"> </w:t>
      </w:r>
      <w:r>
        <w:rPr>
          <w:i/>
        </w:rPr>
        <w:t>matter); other safeguards against state / political</w:t>
      </w:r>
      <w:r>
        <w:rPr>
          <w:i/>
          <w:spacing w:val="-5"/>
        </w:rPr>
        <w:t xml:space="preserve"> </w:t>
      </w:r>
      <w:r>
        <w:rPr>
          <w:i/>
        </w:rPr>
        <w:t>interference</w:t>
      </w:r>
    </w:p>
    <w:p w14:paraId="6E1987EF" w14:textId="77777777" w:rsidR="007D4337" w:rsidRDefault="007D4337" w:rsidP="007D4337">
      <w:pPr>
        <w:pStyle w:val="ListParagraph"/>
        <w:widowControl w:val="0"/>
        <w:numPr>
          <w:ilvl w:val="0"/>
          <w:numId w:val="5"/>
        </w:numPr>
        <w:tabs>
          <w:tab w:val="left" w:pos="1217"/>
        </w:tabs>
        <w:autoSpaceDE w:val="0"/>
        <w:autoSpaceDN w:val="0"/>
        <w:spacing w:before="120" w:after="0" w:line="240" w:lineRule="auto"/>
        <w:ind w:left="1215" w:right="109" w:hanging="360"/>
        <w:contextualSpacing w:val="0"/>
        <w:rPr>
          <w:i/>
        </w:rPr>
      </w:pPr>
      <w:r>
        <w:rPr>
          <w:i/>
        </w:rPr>
        <w:t>Rules governing transparency of media ownership and public availability of media ownership</w:t>
      </w:r>
      <w:r>
        <w:rPr>
          <w:i/>
          <w:spacing w:val="-2"/>
        </w:rPr>
        <w:t xml:space="preserve"> </w:t>
      </w:r>
      <w:r>
        <w:rPr>
          <w:i/>
        </w:rPr>
        <w:t>information</w:t>
      </w:r>
    </w:p>
    <w:p w14:paraId="6480C253" w14:textId="77777777" w:rsidR="007D4337" w:rsidRDefault="007D4337" w:rsidP="007D4337">
      <w:pPr>
        <w:pStyle w:val="Heading2"/>
        <w:numPr>
          <w:ilvl w:val="0"/>
          <w:numId w:val="3"/>
        </w:numPr>
        <w:tabs>
          <w:tab w:val="left" w:pos="543"/>
          <w:tab w:val="left" w:pos="545"/>
        </w:tabs>
        <w:spacing w:before="121"/>
        <w:ind w:hanging="429"/>
      </w:pPr>
      <w:bookmarkStart w:id="13" w:name="C._Framework_for_journalists'_protection"/>
      <w:bookmarkEnd w:id="13"/>
      <w:r>
        <w:t>Framework for journalists'</w:t>
      </w:r>
      <w:r>
        <w:rPr>
          <w:spacing w:val="-3"/>
        </w:rPr>
        <w:t xml:space="preserve"> </w:t>
      </w:r>
      <w:r>
        <w:t>protection</w:t>
      </w:r>
    </w:p>
    <w:p w14:paraId="3AABD693" w14:textId="77777777" w:rsidR="007D4337" w:rsidRDefault="007D4337" w:rsidP="007D4337">
      <w:pPr>
        <w:pStyle w:val="ListParagraph"/>
        <w:widowControl w:val="0"/>
        <w:numPr>
          <w:ilvl w:val="0"/>
          <w:numId w:val="5"/>
        </w:numPr>
        <w:tabs>
          <w:tab w:val="left" w:pos="1217"/>
        </w:tabs>
        <w:autoSpaceDE w:val="0"/>
        <w:autoSpaceDN w:val="0"/>
        <w:spacing w:before="120" w:after="0" w:line="240" w:lineRule="auto"/>
        <w:contextualSpacing w:val="0"/>
        <w:rPr>
          <w:i/>
        </w:rPr>
      </w:pPr>
      <w:r>
        <w:rPr>
          <w:i/>
        </w:rPr>
        <w:t>Rules and practices guaranteeing journalist's independence and</w:t>
      </w:r>
      <w:r>
        <w:rPr>
          <w:i/>
          <w:spacing w:val="-4"/>
        </w:rPr>
        <w:t xml:space="preserve"> </w:t>
      </w:r>
      <w:r>
        <w:rPr>
          <w:i/>
        </w:rPr>
        <w:t>safety</w:t>
      </w:r>
    </w:p>
    <w:p w14:paraId="6D5398DF" w14:textId="77777777" w:rsidR="007D4337" w:rsidRDefault="007D4337" w:rsidP="007D4337">
      <w:pPr>
        <w:pStyle w:val="ListParagraph"/>
        <w:widowControl w:val="0"/>
        <w:numPr>
          <w:ilvl w:val="0"/>
          <w:numId w:val="5"/>
        </w:numPr>
        <w:tabs>
          <w:tab w:val="left" w:pos="1217"/>
        </w:tabs>
        <w:autoSpaceDE w:val="0"/>
        <w:autoSpaceDN w:val="0"/>
        <w:spacing w:before="118" w:after="0" w:line="240" w:lineRule="auto"/>
        <w:ind w:right="108"/>
        <w:contextualSpacing w:val="0"/>
        <w:rPr>
          <w:i/>
        </w:rPr>
      </w:pPr>
      <w:r>
        <w:rPr>
          <w:i/>
        </w:rPr>
        <w:lastRenderedPageBreak/>
        <w:t>Law enforcement capacity to ensure journalists' safety and to investigate attacks on journalists</w:t>
      </w:r>
    </w:p>
    <w:p w14:paraId="3B1C8A30" w14:textId="77777777" w:rsidR="007D4337" w:rsidRDefault="007D4337" w:rsidP="007D4337">
      <w:pPr>
        <w:pStyle w:val="ListParagraph"/>
        <w:widowControl w:val="0"/>
        <w:numPr>
          <w:ilvl w:val="0"/>
          <w:numId w:val="5"/>
        </w:numPr>
        <w:tabs>
          <w:tab w:val="left" w:pos="1217"/>
        </w:tabs>
        <w:autoSpaceDE w:val="0"/>
        <w:autoSpaceDN w:val="0"/>
        <w:spacing w:before="120" w:after="0" w:line="240" w:lineRule="auto"/>
        <w:contextualSpacing w:val="0"/>
        <w:rPr>
          <w:i/>
        </w:rPr>
      </w:pPr>
      <w:r>
        <w:rPr>
          <w:i/>
        </w:rPr>
        <w:t>Access to information and public</w:t>
      </w:r>
      <w:r>
        <w:rPr>
          <w:i/>
          <w:spacing w:val="-5"/>
        </w:rPr>
        <w:t xml:space="preserve"> </w:t>
      </w:r>
      <w:r>
        <w:rPr>
          <w:i/>
        </w:rPr>
        <w:t>documents</w:t>
      </w:r>
    </w:p>
    <w:p w14:paraId="50EE31EC" w14:textId="77777777" w:rsidR="007D4337" w:rsidRDefault="007D4337" w:rsidP="007D4337">
      <w:pPr>
        <w:pStyle w:val="ListParagraph"/>
        <w:widowControl w:val="0"/>
        <w:numPr>
          <w:ilvl w:val="0"/>
          <w:numId w:val="5"/>
        </w:numPr>
        <w:tabs>
          <w:tab w:val="left" w:pos="1217"/>
        </w:tabs>
        <w:autoSpaceDE w:val="0"/>
        <w:autoSpaceDN w:val="0"/>
        <w:spacing w:before="121" w:after="0" w:line="240" w:lineRule="auto"/>
        <w:ind w:right="110"/>
        <w:contextualSpacing w:val="0"/>
        <w:rPr>
          <w:i/>
        </w:rPr>
      </w:pPr>
      <w:r>
        <w:rPr>
          <w:i/>
        </w:rPr>
        <w:t>Lawsuits and convictions against journalists (incl. defamation cases) and safeguards against abuse</w:t>
      </w:r>
    </w:p>
    <w:p w14:paraId="5CFE0672" w14:textId="16C8EBF3" w:rsidR="00E33DA4" w:rsidRDefault="00E33DA4" w:rsidP="00B81BD1">
      <w:pPr>
        <w:jc w:val="both"/>
      </w:pPr>
      <w:r>
        <w:t>In its 2019 report on the question of human rights in Cyprus, OHCHR noted that the Representative on Freedom of the Media of the Organization for Security and Cooperation in Europe had expressed concern regarding a series of threats against the journalist Maria Siakelli, one of the co-authors of a trilingual glossary or sensitive words and phrases entitled “Words That Matter”</w:t>
      </w:r>
      <w:r w:rsidR="00D93DE9">
        <w:t xml:space="preserve"> </w:t>
      </w:r>
      <w:r>
        <w:t>(</w:t>
      </w:r>
      <w:hyperlink r:id="rId21" w:history="1">
        <w:r w:rsidR="00B81BD1" w:rsidRPr="00F5078D">
          <w:rPr>
            <w:rStyle w:val="Hyperlink"/>
          </w:rPr>
          <w:t>A/HRC/40/22</w:t>
        </w:r>
      </w:hyperlink>
      <w:r>
        <w:t>, para 48)</w:t>
      </w:r>
      <w:r w:rsidR="00D93DE9">
        <w:t>.</w:t>
      </w:r>
    </w:p>
    <w:p w14:paraId="184A29D8" w14:textId="77777777" w:rsidR="007D4337" w:rsidRDefault="007D4337" w:rsidP="007D4337">
      <w:pPr>
        <w:pStyle w:val="Heading2"/>
        <w:ind w:left="117" w:firstLine="0"/>
      </w:pPr>
      <w:r>
        <w:t>Other – please specify</w:t>
      </w:r>
    </w:p>
    <w:p w14:paraId="7034028E" w14:textId="77777777" w:rsidR="007D4337" w:rsidRDefault="007D4337" w:rsidP="007D4337">
      <w:pPr>
        <w:pStyle w:val="BodyText"/>
        <w:spacing w:before="8"/>
        <w:ind w:left="0" w:firstLine="0"/>
        <w:rPr>
          <w:b/>
          <w:sz w:val="20"/>
        </w:rPr>
      </w:pPr>
    </w:p>
    <w:p w14:paraId="1652FF8B" w14:textId="77777777" w:rsidR="007D4337" w:rsidRDefault="007D4337" w:rsidP="002D5358">
      <w:pPr>
        <w:pStyle w:val="ListParagraph"/>
        <w:widowControl w:val="0"/>
        <w:numPr>
          <w:ilvl w:val="0"/>
          <w:numId w:val="7"/>
        </w:numPr>
        <w:shd w:val="clear" w:color="auto" w:fill="E7E6E6" w:themeFill="background2"/>
        <w:tabs>
          <w:tab w:val="left" w:pos="838"/>
        </w:tabs>
        <w:autoSpaceDE w:val="0"/>
        <w:autoSpaceDN w:val="0"/>
        <w:spacing w:after="0" w:line="240" w:lineRule="auto"/>
        <w:ind w:left="837" w:hanging="721"/>
        <w:contextualSpacing w:val="0"/>
        <w:jc w:val="both"/>
        <w:rPr>
          <w:b/>
        </w:rPr>
      </w:pPr>
      <w:bookmarkStart w:id="14" w:name="IV._Other_institutional_issues_related_t"/>
      <w:bookmarkStart w:id="15" w:name="A._The_process_for_preparing_and_enactin"/>
      <w:bookmarkEnd w:id="14"/>
      <w:bookmarkEnd w:id="15"/>
      <w:r>
        <w:rPr>
          <w:b/>
        </w:rPr>
        <w:t>Other institutional issues related to checks and</w:t>
      </w:r>
      <w:r>
        <w:rPr>
          <w:b/>
          <w:spacing w:val="-4"/>
        </w:rPr>
        <w:t xml:space="preserve"> </w:t>
      </w:r>
      <w:r>
        <w:rPr>
          <w:b/>
        </w:rPr>
        <w:t>balances</w:t>
      </w:r>
    </w:p>
    <w:p w14:paraId="09223803" w14:textId="77777777" w:rsidR="007D4337" w:rsidRDefault="007D4337" w:rsidP="007D4337">
      <w:pPr>
        <w:pStyle w:val="ListParagraph"/>
        <w:widowControl w:val="0"/>
        <w:numPr>
          <w:ilvl w:val="0"/>
          <w:numId w:val="2"/>
        </w:numPr>
        <w:tabs>
          <w:tab w:val="left" w:pos="544"/>
        </w:tabs>
        <w:autoSpaceDE w:val="0"/>
        <w:autoSpaceDN w:val="0"/>
        <w:spacing w:before="121" w:after="0" w:line="240" w:lineRule="auto"/>
        <w:contextualSpacing w:val="0"/>
        <w:jc w:val="both"/>
        <w:rPr>
          <w:b/>
          <w:i/>
        </w:rPr>
      </w:pPr>
      <w:r>
        <w:rPr>
          <w:b/>
          <w:i/>
        </w:rPr>
        <w:t>The process for preparing and enacting</w:t>
      </w:r>
      <w:r>
        <w:rPr>
          <w:b/>
          <w:i/>
          <w:spacing w:val="-9"/>
        </w:rPr>
        <w:t xml:space="preserve"> </w:t>
      </w:r>
      <w:r>
        <w:rPr>
          <w:b/>
          <w:i/>
        </w:rPr>
        <w:t>laws</w:t>
      </w:r>
    </w:p>
    <w:p w14:paraId="00CB8DA1" w14:textId="77777777" w:rsidR="007D4337" w:rsidRDefault="007D4337" w:rsidP="007D4337">
      <w:pPr>
        <w:pStyle w:val="ListParagraph"/>
        <w:widowControl w:val="0"/>
        <w:numPr>
          <w:ilvl w:val="0"/>
          <w:numId w:val="5"/>
        </w:numPr>
        <w:tabs>
          <w:tab w:val="left" w:pos="1216"/>
        </w:tabs>
        <w:autoSpaceDE w:val="0"/>
        <w:autoSpaceDN w:val="0"/>
        <w:spacing w:before="113" w:after="0" w:line="240" w:lineRule="auto"/>
        <w:ind w:left="1215" w:right="107" w:hanging="360"/>
        <w:contextualSpacing w:val="0"/>
        <w:jc w:val="both"/>
        <w:rPr>
          <w:i/>
        </w:rPr>
      </w:pPr>
      <w:r>
        <w:rPr>
          <w:i/>
        </w:rPr>
        <w:t>Framework, policy and use of impact assessments, stakeholders'/public consultations (particularly consultation of judiciary on judicial reforms), and transparency and quality of the legislative</w:t>
      </w:r>
      <w:r>
        <w:rPr>
          <w:i/>
          <w:spacing w:val="-3"/>
        </w:rPr>
        <w:t xml:space="preserve"> </w:t>
      </w:r>
      <w:r>
        <w:rPr>
          <w:i/>
        </w:rPr>
        <w:t>process</w:t>
      </w:r>
    </w:p>
    <w:p w14:paraId="1C05185B" w14:textId="77777777" w:rsidR="007D4337" w:rsidRDefault="007D4337" w:rsidP="007D4337">
      <w:pPr>
        <w:pStyle w:val="ListParagraph"/>
        <w:widowControl w:val="0"/>
        <w:numPr>
          <w:ilvl w:val="0"/>
          <w:numId w:val="5"/>
        </w:numPr>
        <w:tabs>
          <w:tab w:val="left" w:pos="1216"/>
        </w:tabs>
        <w:autoSpaceDE w:val="0"/>
        <w:autoSpaceDN w:val="0"/>
        <w:spacing w:before="118" w:after="0" w:line="240" w:lineRule="auto"/>
        <w:ind w:left="1215" w:right="107"/>
        <w:contextualSpacing w:val="0"/>
        <w:jc w:val="both"/>
        <w:rPr>
          <w:i/>
        </w:rPr>
      </w:pPr>
      <w:r>
        <w:rPr>
          <w:i/>
        </w:rPr>
        <w:t>Rules and use of fast-track procedures and emergency procedures (for example, the percentage of decisions adopted through emergency/urgent procedure compared to the total number of adopted</w:t>
      </w:r>
      <w:r>
        <w:rPr>
          <w:i/>
          <w:spacing w:val="-1"/>
        </w:rPr>
        <w:t xml:space="preserve"> </w:t>
      </w:r>
      <w:r>
        <w:rPr>
          <w:i/>
        </w:rPr>
        <w:t>decisions)</w:t>
      </w:r>
    </w:p>
    <w:p w14:paraId="0A841DC0" w14:textId="77777777" w:rsidR="007D4337" w:rsidRDefault="007D4337" w:rsidP="007D4337">
      <w:pPr>
        <w:pStyle w:val="ListParagraph"/>
        <w:widowControl w:val="0"/>
        <w:numPr>
          <w:ilvl w:val="0"/>
          <w:numId w:val="5"/>
        </w:numPr>
        <w:tabs>
          <w:tab w:val="left" w:pos="1216"/>
        </w:tabs>
        <w:autoSpaceDE w:val="0"/>
        <w:autoSpaceDN w:val="0"/>
        <w:spacing w:before="121" w:after="0" w:line="240" w:lineRule="auto"/>
        <w:ind w:left="1215"/>
        <w:contextualSpacing w:val="0"/>
        <w:jc w:val="both"/>
        <w:rPr>
          <w:i/>
        </w:rPr>
      </w:pPr>
      <w:r>
        <w:rPr>
          <w:i/>
        </w:rPr>
        <w:t>Regime for constitutional review of</w:t>
      </w:r>
      <w:r>
        <w:rPr>
          <w:i/>
          <w:spacing w:val="-2"/>
        </w:rPr>
        <w:t xml:space="preserve"> </w:t>
      </w:r>
      <w:r>
        <w:rPr>
          <w:i/>
        </w:rPr>
        <w:t>laws</w:t>
      </w:r>
    </w:p>
    <w:p w14:paraId="097600B2" w14:textId="77777777" w:rsidR="007D4337" w:rsidRDefault="007D4337" w:rsidP="007D4337">
      <w:pPr>
        <w:pStyle w:val="ListParagraph"/>
        <w:widowControl w:val="0"/>
        <w:numPr>
          <w:ilvl w:val="0"/>
          <w:numId w:val="5"/>
        </w:numPr>
        <w:tabs>
          <w:tab w:val="left" w:pos="1216"/>
        </w:tabs>
        <w:autoSpaceDE w:val="0"/>
        <w:autoSpaceDN w:val="0"/>
        <w:spacing w:before="120" w:after="0" w:line="240" w:lineRule="auto"/>
        <w:ind w:left="1215" w:right="108"/>
        <w:contextualSpacing w:val="0"/>
        <w:jc w:val="both"/>
        <w:rPr>
          <w:i/>
        </w:rPr>
      </w:pPr>
      <w:r>
        <w:rPr>
          <w:i/>
        </w:rPr>
        <w:t>COVID-19: provide update on significant developments with regard to emergency regimes in the context of the COVID-19</w:t>
      </w:r>
      <w:r>
        <w:rPr>
          <w:i/>
          <w:spacing w:val="-2"/>
        </w:rPr>
        <w:t xml:space="preserve"> </w:t>
      </w:r>
      <w:r>
        <w:rPr>
          <w:i/>
        </w:rPr>
        <w:t>pandemic</w:t>
      </w:r>
    </w:p>
    <w:p w14:paraId="0F054F66" w14:textId="77777777" w:rsidR="007D4337" w:rsidRDefault="007D4337" w:rsidP="007D4337">
      <w:pPr>
        <w:pStyle w:val="ListParagraph"/>
        <w:widowControl w:val="0"/>
        <w:numPr>
          <w:ilvl w:val="1"/>
          <w:numId w:val="5"/>
        </w:numPr>
        <w:tabs>
          <w:tab w:val="left" w:pos="1575"/>
          <w:tab w:val="left" w:pos="1576"/>
        </w:tabs>
        <w:autoSpaceDE w:val="0"/>
        <w:autoSpaceDN w:val="0"/>
        <w:spacing w:before="120" w:after="0" w:line="240" w:lineRule="auto"/>
        <w:ind w:right="256"/>
        <w:contextualSpacing w:val="0"/>
        <w:rPr>
          <w:i/>
        </w:rPr>
      </w:pPr>
      <w:r>
        <w:rPr>
          <w:i/>
        </w:rPr>
        <w:t>judicial review (including constitutional review) of emergency regimes and measures in the context of COVID-19</w:t>
      </w:r>
      <w:r>
        <w:rPr>
          <w:i/>
          <w:spacing w:val="-2"/>
        </w:rPr>
        <w:t xml:space="preserve"> </w:t>
      </w:r>
      <w:r>
        <w:rPr>
          <w:i/>
        </w:rPr>
        <w:t>pandemic</w:t>
      </w:r>
    </w:p>
    <w:p w14:paraId="59C3A3A7" w14:textId="77777777" w:rsidR="007D4337" w:rsidRDefault="007D4337" w:rsidP="007D4337">
      <w:pPr>
        <w:pStyle w:val="ListParagraph"/>
        <w:widowControl w:val="0"/>
        <w:numPr>
          <w:ilvl w:val="1"/>
          <w:numId w:val="5"/>
        </w:numPr>
        <w:tabs>
          <w:tab w:val="left" w:pos="1575"/>
          <w:tab w:val="left" w:pos="1576"/>
        </w:tabs>
        <w:autoSpaceDE w:val="0"/>
        <w:autoSpaceDN w:val="0"/>
        <w:spacing w:after="0" w:line="240" w:lineRule="auto"/>
        <w:ind w:right="134"/>
        <w:contextualSpacing w:val="0"/>
        <w:rPr>
          <w:i/>
        </w:rPr>
      </w:pPr>
      <w:r>
        <w:rPr>
          <w:i/>
        </w:rPr>
        <w:t>oversight by Parliament of emergency regimes and measures in the context of COVID- 19 pandemic</w:t>
      </w:r>
    </w:p>
    <w:p w14:paraId="416A2A94" w14:textId="77777777" w:rsidR="007D4337" w:rsidRDefault="007D4337" w:rsidP="007D4337">
      <w:pPr>
        <w:pStyle w:val="ListParagraph"/>
        <w:widowControl w:val="0"/>
        <w:numPr>
          <w:ilvl w:val="1"/>
          <w:numId w:val="5"/>
        </w:numPr>
        <w:tabs>
          <w:tab w:val="left" w:pos="1575"/>
          <w:tab w:val="left" w:pos="1576"/>
        </w:tabs>
        <w:autoSpaceDE w:val="0"/>
        <w:autoSpaceDN w:val="0"/>
        <w:spacing w:after="0" w:line="240" w:lineRule="auto"/>
        <w:ind w:right="533"/>
        <w:contextualSpacing w:val="0"/>
        <w:rPr>
          <w:i/>
        </w:rPr>
      </w:pPr>
      <w:r>
        <w:rPr>
          <w:i/>
        </w:rPr>
        <w:t>measures taken to ensure the continued activity of Parliament (including possible best practices)</w:t>
      </w:r>
    </w:p>
    <w:p w14:paraId="20F036F3" w14:textId="77777777" w:rsidR="007D4337" w:rsidRDefault="007D4337" w:rsidP="007D4337">
      <w:pPr>
        <w:pStyle w:val="Heading2"/>
        <w:numPr>
          <w:ilvl w:val="0"/>
          <w:numId w:val="2"/>
        </w:numPr>
        <w:tabs>
          <w:tab w:val="left" w:pos="543"/>
          <w:tab w:val="left" w:pos="544"/>
        </w:tabs>
        <w:spacing w:before="126"/>
      </w:pPr>
      <w:bookmarkStart w:id="16" w:name="B._Independent_authorities"/>
      <w:bookmarkEnd w:id="16"/>
      <w:r>
        <w:t>Independent</w:t>
      </w:r>
      <w:r>
        <w:rPr>
          <w:spacing w:val="-3"/>
        </w:rPr>
        <w:t xml:space="preserve"> </w:t>
      </w:r>
      <w:r>
        <w:t>authorities</w:t>
      </w:r>
    </w:p>
    <w:p w14:paraId="3A78D12F" w14:textId="77777777" w:rsidR="007D4337" w:rsidRDefault="007D4337" w:rsidP="007D4337">
      <w:pPr>
        <w:pStyle w:val="ListParagraph"/>
        <w:widowControl w:val="0"/>
        <w:numPr>
          <w:ilvl w:val="0"/>
          <w:numId w:val="5"/>
        </w:numPr>
        <w:tabs>
          <w:tab w:val="left" w:pos="1216"/>
        </w:tabs>
        <w:autoSpaceDE w:val="0"/>
        <w:autoSpaceDN w:val="0"/>
        <w:spacing w:before="113" w:after="0" w:line="240" w:lineRule="auto"/>
        <w:ind w:left="1215" w:right="108" w:hanging="360"/>
        <w:contextualSpacing w:val="0"/>
        <w:jc w:val="both"/>
        <w:rPr>
          <w:i/>
        </w:rPr>
      </w:pPr>
      <w:r>
        <w:rPr>
          <w:i/>
        </w:rPr>
        <w:t>Independence, capacity and powers of national human rights institutions (‘NHRIs’), of ombudsman institutions if different from NHRIs, of equality bodies if different from NHRIs and of supreme audit institutions</w:t>
      </w:r>
      <w:r w:rsidR="00525DD2">
        <w:rPr>
          <w:rStyle w:val="FootnoteReference"/>
          <w:i/>
        </w:rPr>
        <w:footnoteReference w:id="7"/>
      </w:r>
    </w:p>
    <w:p w14:paraId="47FDC7CC" w14:textId="4A510964" w:rsidR="00B81BD1" w:rsidRDefault="00D342A6" w:rsidP="00B81BD1">
      <w:pPr>
        <w:widowControl w:val="0"/>
        <w:tabs>
          <w:tab w:val="left" w:pos="1216"/>
        </w:tabs>
        <w:autoSpaceDE w:val="0"/>
        <w:autoSpaceDN w:val="0"/>
        <w:spacing w:before="113" w:after="0" w:line="240" w:lineRule="auto"/>
        <w:ind w:right="108"/>
        <w:jc w:val="both"/>
      </w:pPr>
      <w:r>
        <w:t xml:space="preserve">In its 2018 concluding observations, CEDAW expressed concern that the Office of the Commissioner for Administration and Protection of Human Rights was accredited with “B” status by the Global Alliance of National Human Rights Institutions in 2015. It recommended that </w:t>
      </w:r>
      <w:r w:rsidR="003F4AAA">
        <w:t xml:space="preserve">Cyprus </w:t>
      </w:r>
      <w:r>
        <w:t>take necessary steps to bring the Office fully into compliance with the Paris Principles and ensure that the Office has a specific mandate on wom</w:t>
      </w:r>
      <w:r w:rsidR="00D93DE9">
        <w:t xml:space="preserve">en’s rights and gender equality </w:t>
      </w:r>
      <w:r>
        <w:t>(</w:t>
      </w:r>
      <w:hyperlink r:id="rId22" w:history="1">
        <w:r w:rsidRPr="003F4AAA">
          <w:rPr>
            <w:rStyle w:val="Hyperlink"/>
          </w:rPr>
          <w:t>CEDAW/C/CYP/CO/8</w:t>
        </w:r>
      </w:hyperlink>
      <w:r>
        <w:t xml:space="preserve">, </w:t>
      </w:r>
      <w:r w:rsidR="00F5078D">
        <w:t xml:space="preserve">para </w:t>
      </w:r>
      <w:r>
        <w:t>20-21)</w:t>
      </w:r>
      <w:r w:rsidR="00D93DE9">
        <w:t>.</w:t>
      </w:r>
    </w:p>
    <w:p w14:paraId="6DE6C123" w14:textId="7FDE887C" w:rsidR="00B81BD1" w:rsidRPr="00FC7632" w:rsidRDefault="00B81BD1" w:rsidP="00B81BD1">
      <w:pPr>
        <w:widowControl w:val="0"/>
        <w:tabs>
          <w:tab w:val="left" w:pos="1216"/>
        </w:tabs>
        <w:autoSpaceDE w:val="0"/>
        <w:autoSpaceDN w:val="0"/>
        <w:spacing w:before="113" w:after="0" w:line="240" w:lineRule="auto"/>
        <w:ind w:right="108"/>
        <w:jc w:val="both"/>
        <w:rPr>
          <w:lang w:val="en-GB"/>
        </w:rPr>
      </w:pPr>
      <w:r>
        <w:rPr>
          <w:lang w:val="en-GB"/>
        </w:rPr>
        <w:t>In its 2019 concluding observations, t</w:t>
      </w:r>
      <w:r w:rsidRPr="00FC7632">
        <w:rPr>
          <w:lang w:val="en-GB"/>
        </w:rPr>
        <w:t>he</w:t>
      </w:r>
      <w:r>
        <w:rPr>
          <w:lang w:val="en-GB"/>
        </w:rPr>
        <w:t xml:space="preserve"> UN</w:t>
      </w:r>
      <w:r w:rsidRPr="00FC7632">
        <w:rPr>
          <w:lang w:val="en-GB"/>
        </w:rPr>
        <w:t xml:space="preserve"> Committee against Torture</w:t>
      </w:r>
      <w:r w:rsidRPr="00FC7632">
        <w:rPr>
          <w:b/>
          <w:lang w:val="en-GB"/>
        </w:rPr>
        <w:t xml:space="preserve"> </w:t>
      </w:r>
      <w:r>
        <w:rPr>
          <w:lang w:val="en-GB"/>
        </w:rPr>
        <w:t xml:space="preserve">remained concerned </w:t>
      </w:r>
      <w:r w:rsidRPr="00FC7632">
        <w:rPr>
          <w:lang w:val="en-GB"/>
        </w:rPr>
        <w:t xml:space="preserve">about the restricted budget and operating capacities of the </w:t>
      </w:r>
      <w:r>
        <w:t>Office of the Commissioner for Administration and Protection of Human Rights</w:t>
      </w:r>
      <w:r w:rsidRPr="00FC7632">
        <w:rPr>
          <w:lang w:val="en-GB"/>
        </w:rPr>
        <w:t xml:space="preserve"> </w:t>
      </w:r>
      <w:r>
        <w:rPr>
          <w:lang w:val="en-GB"/>
        </w:rPr>
        <w:t xml:space="preserve">to act as </w:t>
      </w:r>
      <w:r w:rsidRPr="00FC7632">
        <w:rPr>
          <w:lang w:val="en-GB"/>
        </w:rPr>
        <w:t>national preven</w:t>
      </w:r>
      <w:r w:rsidR="00D93DE9">
        <w:rPr>
          <w:lang w:val="en-GB"/>
        </w:rPr>
        <w:t>tive mechanism (</w:t>
      </w:r>
      <w:hyperlink r:id="rId23" w:history="1">
        <w:r w:rsidRPr="00920BCC">
          <w:rPr>
            <w:rStyle w:val="Hyperlink"/>
          </w:rPr>
          <w:t>CAT/C/CYP/CO/5</w:t>
        </w:r>
      </w:hyperlink>
      <w:r>
        <w:rPr>
          <w:lang w:val="en-GB"/>
        </w:rPr>
        <w:t>, para 30).</w:t>
      </w:r>
    </w:p>
    <w:p w14:paraId="488C485C" w14:textId="77777777" w:rsidR="00B81BD1" w:rsidRDefault="00B81BD1" w:rsidP="00B81BD1">
      <w:pPr>
        <w:widowControl w:val="0"/>
        <w:tabs>
          <w:tab w:val="left" w:pos="1216"/>
        </w:tabs>
        <w:autoSpaceDE w:val="0"/>
        <w:autoSpaceDN w:val="0"/>
        <w:spacing w:before="113" w:after="0" w:line="240" w:lineRule="auto"/>
        <w:ind w:right="108"/>
        <w:jc w:val="both"/>
      </w:pPr>
      <w:r>
        <w:t xml:space="preserve">At its Universal Periodic Review in 2019, Cyprus accepted recommendations to </w:t>
      </w:r>
      <w:r w:rsidR="007812E7">
        <w:t>make</w:t>
      </w:r>
      <w:r>
        <w:t xml:space="preserve"> the Office of the </w:t>
      </w:r>
      <w:r>
        <w:lastRenderedPageBreak/>
        <w:t>Commissioner for Administration and Human Rights fully compliant with the Paris Principles. (</w:t>
      </w:r>
      <w:hyperlink r:id="rId24" w:history="1">
        <w:r w:rsidRPr="00F5078D">
          <w:rPr>
            <w:rStyle w:val="Hyperlink"/>
          </w:rPr>
          <w:t>A/HRC/41/15/Add.1</w:t>
        </w:r>
      </w:hyperlink>
      <w:r>
        <w:t xml:space="preserve">, para 16; </w:t>
      </w:r>
      <w:hyperlink r:id="rId25" w:history="1">
        <w:r w:rsidRPr="00F5078D">
          <w:rPr>
            <w:rStyle w:val="Hyperlink"/>
          </w:rPr>
          <w:t>A/HRC/41/15</w:t>
        </w:r>
      </w:hyperlink>
      <w:r>
        <w:t>, para 139.25)</w:t>
      </w:r>
    </w:p>
    <w:p w14:paraId="48C0D9F2" w14:textId="77777777" w:rsidR="00B81BD1" w:rsidRPr="00A73C3D" w:rsidRDefault="00B81BD1" w:rsidP="00A73C3D">
      <w:pPr>
        <w:widowControl w:val="0"/>
        <w:tabs>
          <w:tab w:val="left" w:pos="1216"/>
        </w:tabs>
        <w:autoSpaceDE w:val="0"/>
        <w:autoSpaceDN w:val="0"/>
        <w:spacing w:before="113" w:after="0" w:line="240" w:lineRule="auto"/>
        <w:ind w:right="108"/>
        <w:jc w:val="both"/>
      </w:pPr>
    </w:p>
    <w:p w14:paraId="297601AA" w14:textId="77777777" w:rsidR="007D4337" w:rsidRDefault="007D4337" w:rsidP="007D4337">
      <w:pPr>
        <w:pStyle w:val="Heading2"/>
        <w:numPr>
          <w:ilvl w:val="0"/>
          <w:numId w:val="2"/>
        </w:numPr>
        <w:tabs>
          <w:tab w:val="left" w:pos="544"/>
        </w:tabs>
        <w:spacing w:before="126"/>
        <w:jc w:val="both"/>
      </w:pPr>
      <w:bookmarkStart w:id="17" w:name="C._Accessibility_and_judicial_review_of_"/>
      <w:bookmarkEnd w:id="17"/>
      <w:r>
        <w:t>Accessibility and judicial review of administrative</w:t>
      </w:r>
      <w:r>
        <w:rPr>
          <w:spacing w:val="-7"/>
        </w:rPr>
        <w:t xml:space="preserve"> </w:t>
      </w:r>
      <w:r>
        <w:t>decisions</w:t>
      </w:r>
    </w:p>
    <w:p w14:paraId="2F2AAE0D" w14:textId="77777777" w:rsidR="007D4337" w:rsidRDefault="007D4337" w:rsidP="007D4337">
      <w:pPr>
        <w:pStyle w:val="ListParagraph"/>
        <w:widowControl w:val="0"/>
        <w:numPr>
          <w:ilvl w:val="0"/>
          <w:numId w:val="5"/>
        </w:numPr>
        <w:tabs>
          <w:tab w:val="left" w:pos="1267"/>
        </w:tabs>
        <w:autoSpaceDE w:val="0"/>
        <w:autoSpaceDN w:val="0"/>
        <w:spacing w:before="113" w:after="0" w:line="240" w:lineRule="auto"/>
        <w:ind w:left="1215" w:right="108" w:hanging="360"/>
        <w:contextualSpacing w:val="0"/>
        <w:jc w:val="both"/>
        <w:rPr>
          <w:i/>
        </w:rPr>
      </w:pPr>
      <w:r>
        <w:tab/>
      </w:r>
      <w:r>
        <w:rPr>
          <w:i/>
        </w:rPr>
        <w:t>Transparency of administrative decisions and sanctions (incl. their publication and rules on collection of related data) and judicial review (incl. scope, suspensive</w:t>
      </w:r>
      <w:r>
        <w:rPr>
          <w:i/>
          <w:spacing w:val="-16"/>
        </w:rPr>
        <w:t xml:space="preserve"> </w:t>
      </w:r>
      <w:r>
        <w:rPr>
          <w:i/>
        </w:rPr>
        <w:t>effect)</w:t>
      </w:r>
    </w:p>
    <w:p w14:paraId="1363F3A7" w14:textId="77777777" w:rsidR="0034541D" w:rsidRDefault="0034541D" w:rsidP="0034541D">
      <w:pPr>
        <w:jc w:val="both"/>
      </w:pPr>
    </w:p>
    <w:p w14:paraId="7C8719B8" w14:textId="77777777" w:rsidR="0034541D" w:rsidRDefault="0034541D" w:rsidP="0034541D">
      <w:pPr>
        <w:jc w:val="both"/>
        <w:rPr>
          <w:lang w:val="en-GB"/>
        </w:rPr>
      </w:pPr>
      <w:r>
        <w:t>I</w:t>
      </w:r>
      <w:r w:rsidRPr="0034541D">
        <w:rPr>
          <w:lang w:val="en-GB"/>
        </w:rPr>
        <w:t xml:space="preserve">n its 2019 concluding observations, the UN Committee against Torture </w:t>
      </w:r>
      <w:r>
        <w:t>noted with appreciation the creation, in January 2016, of the Administrative Court, which has first-instance jurisdiction over administrative proceedings, and the creation, in July 2019, of the International Protection Administrative Court, another first-instance court examin</w:t>
      </w:r>
      <w:r w:rsidR="00831520">
        <w:t>ing</w:t>
      </w:r>
      <w:r>
        <w:t xml:space="preserve"> both procedure and merits </w:t>
      </w:r>
      <w:r w:rsidR="00831520">
        <w:t xml:space="preserve">with </w:t>
      </w:r>
      <w:r>
        <w:t xml:space="preserve">strict deadlines for greater efficiency. The Committee nonetheless </w:t>
      </w:r>
      <w:r w:rsidRPr="0034541D">
        <w:rPr>
          <w:lang w:val="en-GB"/>
        </w:rPr>
        <w:t xml:space="preserve">remained concerned about the effectiveness of the two courts to adjudicate challenges to the deportation of asylum applicants and irregular migrants, about the relation of these courts with the Supreme Court with regard to the accessibility of appeals, and about the backlog of asylum claims. </w:t>
      </w:r>
      <w:r w:rsidR="00831520">
        <w:rPr>
          <w:lang w:val="en-GB"/>
        </w:rPr>
        <w:t>It</w:t>
      </w:r>
      <w:r>
        <w:rPr>
          <w:lang w:val="en-GB"/>
        </w:rPr>
        <w:t xml:space="preserve"> recommended Cyprus to </w:t>
      </w:r>
      <w:r w:rsidRPr="0034541D">
        <w:rPr>
          <w:lang w:val="en-GB"/>
        </w:rPr>
        <w:t>continue to abide by its commitment to provide for an effective judicial remedy with automatic suspensive effect in the context of the deportation of asylum seekers and irregular migrants, by:</w:t>
      </w:r>
      <w:r>
        <w:rPr>
          <w:lang w:val="en-GB"/>
        </w:rPr>
        <w:t xml:space="preserve"> e</w:t>
      </w:r>
      <w:r w:rsidRPr="0034541D">
        <w:rPr>
          <w:lang w:val="en-GB"/>
        </w:rPr>
        <w:t xml:space="preserve">nsuring the independence of the Administrative Court and the International Protection </w:t>
      </w:r>
      <w:r>
        <w:rPr>
          <w:lang w:val="en-GB"/>
        </w:rPr>
        <w:t>Administrative Court from the E</w:t>
      </w:r>
      <w:r w:rsidRPr="0034541D">
        <w:rPr>
          <w:lang w:val="en-GB"/>
        </w:rPr>
        <w:t>xecutive, incl</w:t>
      </w:r>
      <w:r w:rsidR="00831520">
        <w:rPr>
          <w:lang w:val="en-GB"/>
        </w:rPr>
        <w:t xml:space="preserve">. </w:t>
      </w:r>
      <w:r w:rsidRPr="0034541D">
        <w:rPr>
          <w:lang w:val="en-GB"/>
        </w:rPr>
        <w:t>procedural independence from law enforcement and immigration and asylum officers;</w:t>
      </w:r>
      <w:r>
        <w:rPr>
          <w:lang w:val="en-GB"/>
        </w:rPr>
        <w:t xml:space="preserve"> e</w:t>
      </w:r>
      <w:r w:rsidRPr="0034541D">
        <w:rPr>
          <w:lang w:val="en-GB"/>
        </w:rPr>
        <w:t>nsuring legal recourse is available to asylum seekers and irregular migrants who have lost the protection of suspensive effect;</w:t>
      </w:r>
      <w:r>
        <w:rPr>
          <w:lang w:val="en-GB"/>
        </w:rPr>
        <w:t xml:space="preserve"> and t</w:t>
      </w:r>
      <w:r w:rsidRPr="0034541D">
        <w:rPr>
          <w:lang w:val="en-GB"/>
        </w:rPr>
        <w:t>racking the number of cases relating to non-refoulement of possible victims of torture that the two administrative courts and the Supreme Court have considered since establishment,</w:t>
      </w:r>
      <w:r w:rsidR="008B4C84">
        <w:rPr>
          <w:lang w:val="en-GB"/>
        </w:rPr>
        <w:t xml:space="preserve"> including </w:t>
      </w:r>
      <w:r w:rsidRPr="0034541D">
        <w:rPr>
          <w:lang w:val="en-GB"/>
        </w:rPr>
        <w:t xml:space="preserve">cases submitted </w:t>
      </w:r>
      <w:r w:rsidR="00831520">
        <w:rPr>
          <w:lang w:val="en-GB"/>
        </w:rPr>
        <w:t>and</w:t>
      </w:r>
      <w:r w:rsidRPr="0034541D">
        <w:rPr>
          <w:lang w:val="en-GB"/>
        </w:rPr>
        <w:t xml:space="preserve"> decided</w:t>
      </w:r>
      <w:r w:rsidR="008B4C84">
        <w:rPr>
          <w:lang w:val="en-GB"/>
        </w:rPr>
        <w:t xml:space="preserve"> and c</w:t>
      </w:r>
      <w:r w:rsidRPr="0034541D">
        <w:rPr>
          <w:lang w:val="en-GB"/>
        </w:rPr>
        <w:t>ase o</w:t>
      </w:r>
      <w:r w:rsidR="008B4C84">
        <w:rPr>
          <w:lang w:val="en-GB"/>
        </w:rPr>
        <w:t xml:space="preserve">utcomes (both those resulting in deportation and those that </w:t>
      </w:r>
      <w:r w:rsidRPr="0034541D">
        <w:rPr>
          <w:lang w:val="en-GB"/>
        </w:rPr>
        <w:t>led to the reversal of a deportation order</w:t>
      </w:r>
      <w:r w:rsidR="008B4C84">
        <w:rPr>
          <w:lang w:val="en-GB"/>
        </w:rPr>
        <w:t>)</w:t>
      </w:r>
      <w:r w:rsidRPr="0034541D">
        <w:rPr>
          <w:lang w:val="en-GB"/>
        </w:rPr>
        <w:t>, the number of appeals and the</w:t>
      </w:r>
      <w:r w:rsidR="008B4C84">
        <w:rPr>
          <w:lang w:val="en-GB"/>
        </w:rPr>
        <w:t>ir</w:t>
      </w:r>
      <w:r w:rsidRPr="0034541D">
        <w:rPr>
          <w:lang w:val="en-GB"/>
        </w:rPr>
        <w:t xml:space="preserve"> outcomes. </w:t>
      </w:r>
    </w:p>
    <w:p w14:paraId="65F28FB1" w14:textId="77777777" w:rsidR="00831520" w:rsidRDefault="002E56AA" w:rsidP="00831520">
      <w:pPr>
        <w:jc w:val="both"/>
        <w:rPr>
          <w:b/>
          <w:i/>
          <w:lang w:val="en-GB"/>
        </w:rPr>
      </w:pPr>
      <w:r w:rsidRPr="002E56AA">
        <w:rPr>
          <w:lang w:val="en-GB"/>
        </w:rPr>
        <w:t>T</w:t>
      </w:r>
      <w:r w:rsidR="00831520" w:rsidRPr="00FC7632">
        <w:rPr>
          <w:lang w:val="en-GB"/>
        </w:rPr>
        <w:t>he Committe</w:t>
      </w:r>
      <w:r w:rsidR="00831520">
        <w:rPr>
          <w:lang w:val="en-GB"/>
        </w:rPr>
        <w:t xml:space="preserve">e </w:t>
      </w:r>
      <w:r>
        <w:rPr>
          <w:lang w:val="en-GB"/>
        </w:rPr>
        <w:t xml:space="preserve">also </w:t>
      </w:r>
      <w:r w:rsidR="00831520">
        <w:rPr>
          <w:lang w:val="en-GB"/>
        </w:rPr>
        <w:t xml:space="preserve">expressed </w:t>
      </w:r>
      <w:r w:rsidR="00831520" w:rsidRPr="00FC7632">
        <w:rPr>
          <w:lang w:val="en-GB"/>
        </w:rPr>
        <w:t xml:space="preserve">concern about the effectiveness of the appeal process relating to re-examination of decisions of cessation of subsidiary protection status. </w:t>
      </w:r>
      <w:r w:rsidR="00831520">
        <w:rPr>
          <w:lang w:val="en-GB"/>
        </w:rPr>
        <w:t>It</w:t>
      </w:r>
      <w:r w:rsidR="00831520" w:rsidRPr="00FC7632">
        <w:rPr>
          <w:lang w:val="en-GB"/>
        </w:rPr>
        <w:t xml:space="preserve"> </w:t>
      </w:r>
      <w:r w:rsidR="00831520">
        <w:rPr>
          <w:lang w:val="en-GB"/>
        </w:rPr>
        <w:t>wa</w:t>
      </w:r>
      <w:r w:rsidR="00831520" w:rsidRPr="00FC7632">
        <w:rPr>
          <w:lang w:val="en-GB"/>
        </w:rPr>
        <w:t xml:space="preserve">s further concerned that subsidiary protection </w:t>
      </w:r>
      <w:r w:rsidR="00831520">
        <w:rPr>
          <w:lang w:val="en-GB"/>
        </w:rPr>
        <w:t>wa</w:t>
      </w:r>
      <w:r w:rsidR="00831520" w:rsidRPr="00FC7632">
        <w:rPr>
          <w:lang w:val="en-GB"/>
        </w:rPr>
        <w:t xml:space="preserve">s </w:t>
      </w:r>
      <w:r w:rsidR="00831520">
        <w:rPr>
          <w:lang w:val="en-GB"/>
        </w:rPr>
        <w:t xml:space="preserve">granted </w:t>
      </w:r>
      <w:r w:rsidR="00831520" w:rsidRPr="00FC7632">
        <w:rPr>
          <w:lang w:val="en-GB"/>
        </w:rPr>
        <w:t>approximately five times more frequent</w:t>
      </w:r>
      <w:r w:rsidR="00831520">
        <w:rPr>
          <w:lang w:val="en-GB"/>
        </w:rPr>
        <w:t>ly</w:t>
      </w:r>
      <w:r w:rsidR="00831520" w:rsidRPr="00FC7632">
        <w:rPr>
          <w:lang w:val="en-GB"/>
        </w:rPr>
        <w:t xml:space="preserve"> than the recognition of refugee s</w:t>
      </w:r>
      <w:r w:rsidR="00831520">
        <w:rPr>
          <w:lang w:val="en-GB"/>
        </w:rPr>
        <w:t>tatus. Finally, it was</w:t>
      </w:r>
      <w:r w:rsidR="00831520" w:rsidRPr="00FC7632">
        <w:rPr>
          <w:lang w:val="en-GB"/>
        </w:rPr>
        <w:t xml:space="preserve"> concerned that in several cases, the act of appealing rejected refugee status applications had led to the suspension of subsidiary protection, and that there was a high number of returns during the </w:t>
      </w:r>
      <w:r w:rsidR="00831520">
        <w:rPr>
          <w:lang w:val="en-GB"/>
        </w:rPr>
        <w:t xml:space="preserve">reviewed </w:t>
      </w:r>
      <w:r w:rsidR="00831520" w:rsidRPr="00FC7632">
        <w:rPr>
          <w:lang w:val="en-GB"/>
        </w:rPr>
        <w:t>period, including to countries where torture and ill-treatment frequently occur</w:t>
      </w:r>
      <w:r w:rsidR="00831520">
        <w:rPr>
          <w:lang w:val="en-GB"/>
        </w:rPr>
        <w:t>red</w:t>
      </w:r>
      <w:r w:rsidR="00831520" w:rsidRPr="00FC7632">
        <w:rPr>
          <w:lang w:val="en-GB"/>
        </w:rPr>
        <w:t xml:space="preserve">. (See </w:t>
      </w:r>
      <w:hyperlink r:id="rId26" w:history="1">
        <w:r w:rsidR="00831520" w:rsidRPr="004001B4">
          <w:rPr>
            <w:rStyle w:val="Hyperlink"/>
          </w:rPr>
          <w:t>CAT/C/CYP/CO/5</w:t>
        </w:r>
      </w:hyperlink>
      <w:r w:rsidR="00831520">
        <w:rPr>
          <w:lang w:val="en-GB"/>
        </w:rPr>
        <w:t xml:space="preserve">, </w:t>
      </w:r>
      <w:r w:rsidRPr="0034541D">
        <w:rPr>
          <w:lang w:val="en-GB"/>
        </w:rPr>
        <w:t>para 18</w:t>
      </w:r>
      <w:r>
        <w:rPr>
          <w:lang w:val="en-GB"/>
        </w:rPr>
        <w:t xml:space="preserve">, 19, </w:t>
      </w:r>
      <w:r w:rsidR="00831520" w:rsidRPr="00FC7632">
        <w:rPr>
          <w:lang w:val="en-GB"/>
        </w:rPr>
        <w:t>22)</w:t>
      </w:r>
    </w:p>
    <w:p w14:paraId="257F7037" w14:textId="77777777" w:rsidR="00831520" w:rsidRDefault="00831520" w:rsidP="00831520">
      <w:pPr>
        <w:jc w:val="both"/>
        <w:rPr>
          <w:lang w:val="en-GB"/>
        </w:rPr>
      </w:pPr>
      <w:r>
        <w:rPr>
          <w:lang w:val="en-GB"/>
        </w:rPr>
        <w:t>In its 2021 report on the question of human rights in Cyprus, OHCHR noted continued concerns about the situation of asylum seekers and migrants in an irregular situation were exacerbated during the reporting period owing to measures taken purportedly in response to COVID-19. OHCHR reported that the Republic of Cyprus suspended access to asylum procedures and to the territory, and that asylum procedures resumed in July, but restrictions on access to territory persisted as at 30 November 2020, resulting in denials of the right to seek asylum. (</w:t>
      </w:r>
      <w:hyperlink r:id="rId27" w:history="1">
        <w:r w:rsidRPr="00110457">
          <w:rPr>
            <w:rStyle w:val="Hyperlink"/>
            <w:lang w:val="en-GB"/>
          </w:rPr>
          <w:t>A/HRC/46/23</w:t>
        </w:r>
      </w:hyperlink>
      <w:r>
        <w:rPr>
          <w:lang w:val="en-GB"/>
        </w:rPr>
        <w:t xml:space="preserve"> (Advanced Edited Version), para 39-40)</w:t>
      </w:r>
    </w:p>
    <w:p w14:paraId="2500AB93" w14:textId="77777777" w:rsidR="00831520" w:rsidRPr="0034541D" w:rsidRDefault="00831520" w:rsidP="0034541D">
      <w:pPr>
        <w:jc w:val="both"/>
        <w:rPr>
          <w:b/>
          <w:i/>
          <w:lang w:val="en-GB"/>
        </w:rPr>
      </w:pPr>
    </w:p>
    <w:p w14:paraId="25C2E5B8" w14:textId="77777777" w:rsidR="007D4337" w:rsidRDefault="007D4337" w:rsidP="007D4337">
      <w:pPr>
        <w:pStyle w:val="ListParagraph"/>
        <w:widowControl w:val="0"/>
        <w:numPr>
          <w:ilvl w:val="0"/>
          <w:numId w:val="5"/>
        </w:numPr>
        <w:tabs>
          <w:tab w:val="left" w:pos="1216"/>
        </w:tabs>
        <w:autoSpaceDE w:val="0"/>
        <w:autoSpaceDN w:val="0"/>
        <w:spacing w:before="121" w:after="0" w:line="240" w:lineRule="auto"/>
        <w:ind w:left="1215"/>
        <w:contextualSpacing w:val="0"/>
        <w:jc w:val="both"/>
        <w:rPr>
          <w:i/>
        </w:rPr>
      </w:pPr>
      <w:r>
        <w:rPr>
          <w:i/>
        </w:rPr>
        <w:t>Implementation by the public administration and State institutions of final court</w:t>
      </w:r>
      <w:r>
        <w:rPr>
          <w:i/>
          <w:spacing w:val="-31"/>
        </w:rPr>
        <w:t xml:space="preserve"> </w:t>
      </w:r>
      <w:r>
        <w:rPr>
          <w:i/>
        </w:rPr>
        <w:t>decisions</w:t>
      </w:r>
    </w:p>
    <w:p w14:paraId="40F389FA" w14:textId="77777777" w:rsidR="007D4337" w:rsidRDefault="007D4337" w:rsidP="007D4337">
      <w:pPr>
        <w:pStyle w:val="Heading2"/>
        <w:numPr>
          <w:ilvl w:val="0"/>
          <w:numId w:val="2"/>
        </w:numPr>
        <w:tabs>
          <w:tab w:val="left" w:pos="544"/>
        </w:tabs>
        <w:spacing w:before="33"/>
        <w:jc w:val="both"/>
      </w:pPr>
      <w:bookmarkStart w:id="18" w:name="D._The_enabling_framework_for_civil_soci"/>
      <w:bookmarkEnd w:id="18"/>
      <w:r>
        <w:t>The enabling framework for civil</w:t>
      </w:r>
      <w:r>
        <w:rPr>
          <w:spacing w:val="-5"/>
        </w:rPr>
        <w:t xml:space="preserve"> </w:t>
      </w:r>
      <w:r>
        <w:t>society</w:t>
      </w:r>
    </w:p>
    <w:p w14:paraId="5A011642" w14:textId="77777777" w:rsidR="007D4337" w:rsidRDefault="007D4337" w:rsidP="007D4337">
      <w:pPr>
        <w:pStyle w:val="ListParagraph"/>
        <w:widowControl w:val="0"/>
        <w:numPr>
          <w:ilvl w:val="0"/>
          <w:numId w:val="5"/>
        </w:numPr>
        <w:tabs>
          <w:tab w:val="left" w:pos="1216"/>
        </w:tabs>
        <w:autoSpaceDE w:val="0"/>
        <w:autoSpaceDN w:val="0"/>
        <w:spacing w:before="120" w:after="0" w:line="240" w:lineRule="auto"/>
        <w:ind w:right="105" w:hanging="356"/>
        <w:contextualSpacing w:val="0"/>
        <w:jc w:val="both"/>
        <w:rPr>
          <w:i/>
        </w:rPr>
      </w:pPr>
      <w:r>
        <w:rPr>
          <w:i/>
        </w:rPr>
        <w:t>Measures regarding the framework for civil society organisations (e.g. access to funding, registration rules, measures capable of affecting the public perception of civil society</w:t>
      </w:r>
      <w:bookmarkStart w:id="19" w:name="E._Initiatives_to_foster_a_rule_of_law_c"/>
      <w:bookmarkEnd w:id="19"/>
      <w:r>
        <w:rPr>
          <w:i/>
        </w:rPr>
        <w:t xml:space="preserve"> organisations,</w:t>
      </w:r>
      <w:r>
        <w:rPr>
          <w:i/>
          <w:spacing w:val="-1"/>
        </w:rPr>
        <w:t xml:space="preserve"> </w:t>
      </w:r>
      <w:r>
        <w:rPr>
          <w:i/>
        </w:rPr>
        <w:t>etc.)</w:t>
      </w:r>
    </w:p>
    <w:p w14:paraId="76BFC507" w14:textId="77777777" w:rsidR="00481172" w:rsidRDefault="00481172" w:rsidP="00481172">
      <w:pPr>
        <w:jc w:val="both"/>
      </w:pPr>
    </w:p>
    <w:p w14:paraId="35F6A2B1" w14:textId="4A602194" w:rsidR="00EB610B" w:rsidRPr="00481172" w:rsidRDefault="00495765" w:rsidP="00BF7B00">
      <w:pPr>
        <w:jc w:val="both"/>
        <w:rPr>
          <w:rFonts w:cstheme="minorHAnsi"/>
        </w:rPr>
      </w:pPr>
      <w:r>
        <w:t xml:space="preserve">In 2019, </w:t>
      </w:r>
      <w:r w:rsidR="007812E7">
        <w:t xml:space="preserve">several </w:t>
      </w:r>
      <w:r>
        <w:t xml:space="preserve">Special </w:t>
      </w:r>
      <w:r w:rsidR="007812E7">
        <w:t xml:space="preserve">Procedures mandate-holders initiated a dialogue with Cyprus, citing </w:t>
      </w:r>
      <w:r w:rsidR="00EB610B">
        <w:t>concern</w:t>
      </w:r>
      <w:r>
        <w:t xml:space="preserve"> </w:t>
      </w:r>
      <w:r w:rsidR="00EB610B">
        <w:t xml:space="preserve">at </w:t>
      </w:r>
      <w:r>
        <w:t>the arrest and investigation of human rights defender Doros Polykarpou</w:t>
      </w:r>
      <w:r w:rsidR="00EB610B">
        <w:t>, which appeared to be directly linked to his peaceful activities in defense of the human rights of migrants</w:t>
      </w:r>
      <w:r>
        <w:t>.</w:t>
      </w:r>
      <w:r w:rsidR="00EB610B">
        <w:t xml:space="preserve"> The Special Rapporteurs expressed further concern at threats allegedly made against staff members of the non</w:t>
      </w:r>
      <w:r w:rsidR="007812E7">
        <w:t>-</w:t>
      </w:r>
      <w:r w:rsidR="00EB610B">
        <w:t>governmental organization KISA in relation to the arrest.</w:t>
      </w:r>
      <w:r w:rsidR="007812E7" w:rsidRPr="00481172">
        <w:rPr>
          <w:rFonts w:cstheme="minorHAnsi"/>
        </w:rPr>
        <w:t xml:space="preserve"> </w:t>
      </w:r>
      <w:r w:rsidR="00EB610B" w:rsidRPr="00481172">
        <w:rPr>
          <w:rFonts w:cstheme="minorHAnsi"/>
        </w:rPr>
        <w:t>(</w:t>
      </w:r>
      <w:hyperlink r:id="rId28" w:tgtFrame="Com_24873" w:history="1">
        <w:r w:rsidR="007812E7" w:rsidRPr="00481172">
          <w:rPr>
            <w:rStyle w:val="Hyperlink"/>
            <w:rFonts w:cstheme="minorHAnsi"/>
          </w:rPr>
          <w:t>CYP 2/2019</w:t>
        </w:r>
      </w:hyperlink>
      <w:r w:rsidR="007812E7" w:rsidRPr="00481172">
        <w:rPr>
          <w:rFonts w:cstheme="minorHAnsi"/>
        </w:rPr>
        <w:t xml:space="preserve">, available at </w:t>
      </w:r>
      <w:hyperlink r:id="rId29" w:history="1">
        <w:r w:rsidR="007812E7" w:rsidRPr="00481172">
          <w:rPr>
            <w:rStyle w:val="Hyperlink"/>
            <w:rFonts w:cstheme="minorHAnsi"/>
          </w:rPr>
          <w:t>https://spcommreports.ohchr.org/TmSearch/Results</w:t>
        </w:r>
      </w:hyperlink>
      <w:r w:rsidR="00EB610B" w:rsidRPr="00481172">
        <w:rPr>
          <w:rFonts w:cstheme="minorHAnsi"/>
        </w:rPr>
        <w:t>)</w:t>
      </w:r>
      <w:r w:rsidR="007812E7" w:rsidRPr="00481172">
        <w:rPr>
          <w:rFonts w:cstheme="minorHAnsi"/>
        </w:rPr>
        <w:t xml:space="preserve"> </w:t>
      </w:r>
      <w:r w:rsidR="00481172" w:rsidRPr="00481172">
        <w:rPr>
          <w:rFonts w:cstheme="minorHAnsi"/>
        </w:rPr>
        <w:t xml:space="preserve">His </w:t>
      </w:r>
      <w:r w:rsidR="007812E7" w:rsidRPr="00481172">
        <w:rPr>
          <w:rFonts w:cstheme="minorHAnsi"/>
        </w:rPr>
        <w:t xml:space="preserve">case </w:t>
      </w:r>
      <w:r w:rsidR="00481172" w:rsidRPr="00481172">
        <w:rPr>
          <w:rFonts w:cstheme="minorHAnsi"/>
        </w:rPr>
        <w:t xml:space="preserve">had previously been </w:t>
      </w:r>
      <w:r w:rsidR="007812E7" w:rsidRPr="00481172">
        <w:rPr>
          <w:rFonts w:cstheme="minorHAnsi"/>
        </w:rPr>
        <w:t>raised twice in the reprisals report of the UN Secretary General in 2015 and 2016  (</w:t>
      </w:r>
      <w:hyperlink r:id="rId30" w:history="1">
        <w:r w:rsidR="007812E7" w:rsidRPr="00BF7B00">
          <w:rPr>
            <w:rStyle w:val="Hyperlink"/>
            <w:rFonts w:cstheme="minorHAnsi"/>
          </w:rPr>
          <w:t>A/HRC/30/29</w:t>
        </w:r>
      </w:hyperlink>
      <w:r w:rsidR="00481172" w:rsidRPr="00481172">
        <w:rPr>
          <w:rFonts w:cstheme="minorHAnsi"/>
        </w:rPr>
        <w:t xml:space="preserve"> </w:t>
      </w:r>
      <w:r w:rsidR="007812E7" w:rsidRPr="00481172">
        <w:rPr>
          <w:rFonts w:cstheme="minorHAnsi"/>
        </w:rPr>
        <w:t xml:space="preserve">and </w:t>
      </w:r>
      <w:hyperlink r:id="rId31" w:history="1">
        <w:r w:rsidR="007812E7" w:rsidRPr="00481172">
          <w:rPr>
            <w:rStyle w:val="Hyperlink"/>
            <w:rFonts w:cstheme="minorHAnsi"/>
          </w:rPr>
          <w:t>A/HRC/</w:t>
        </w:r>
        <w:r w:rsidR="00481172" w:rsidRPr="00481172">
          <w:rPr>
            <w:rStyle w:val="Hyperlink"/>
            <w:rFonts w:cstheme="minorHAnsi"/>
          </w:rPr>
          <w:t>33</w:t>
        </w:r>
        <w:r w:rsidR="007812E7" w:rsidRPr="00481172">
          <w:rPr>
            <w:rStyle w:val="Hyperlink"/>
            <w:rFonts w:cstheme="minorHAnsi"/>
          </w:rPr>
          <w:t>/19</w:t>
        </w:r>
      </w:hyperlink>
      <w:r w:rsidR="00481172" w:rsidRPr="00481172">
        <w:rPr>
          <w:rFonts w:cstheme="minorHAnsi"/>
        </w:rPr>
        <w:t>). In his 2020 addendum report to the Human Rights Council on communications, the UN Special Rapporteur on human rights defenders thanked the Government of Cyprus for its response to its 2019 communication</w:t>
      </w:r>
      <w:r w:rsidR="00E361CF">
        <w:rPr>
          <w:rFonts w:cstheme="minorHAnsi"/>
          <w:lang/>
        </w:rPr>
        <w:t>,</w:t>
      </w:r>
      <w:r w:rsidR="00481172" w:rsidRPr="00481172">
        <w:rPr>
          <w:rFonts w:cstheme="minorHAnsi"/>
        </w:rPr>
        <w:t xml:space="preserve"> </w:t>
      </w:r>
      <w:r w:rsidR="00E361CF">
        <w:rPr>
          <w:rFonts w:cstheme="minorHAnsi"/>
          <w:lang/>
        </w:rPr>
        <w:t>but</w:t>
      </w:r>
      <w:r w:rsidR="00481172" w:rsidRPr="00481172">
        <w:rPr>
          <w:rFonts w:cstheme="minorHAnsi"/>
        </w:rPr>
        <w:t xml:space="preserve"> remained concerned about the threatening behaviour of police officers towards members of the organisation KISA, and the frequency with which communications had been sent in recent years regarding the treatment of Mr. Polykarpou. Taken together, these acts showed a pattern of intimidation which may create an environment not conducive to the defence of human rights. The Special Rapporteur reiterated that it is the obligation of the Cyprian </w:t>
      </w:r>
      <w:r w:rsidR="00704709">
        <w:rPr>
          <w:rFonts w:cstheme="minorHAnsi"/>
          <w:lang/>
        </w:rPr>
        <w:t>S</w:t>
      </w:r>
      <w:r w:rsidR="00481172" w:rsidRPr="00481172">
        <w:rPr>
          <w:rFonts w:cstheme="minorHAnsi"/>
        </w:rPr>
        <w:t>tate to maintain an environment in which human rights defenders, including migrant rights defenders, can carry out their legitimate work. (</w:t>
      </w:r>
      <w:hyperlink r:id="rId32" w:history="1">
        <w:r w:rsidR="00481172" w:rsidRPr="00481172">
          <w:rPr>
            <w:rStyle w:val="Hyperlink"/>
            <w:rFonts w:cstheme="minorHAnsi"/>
          </w:rPr>
          <w:t>A/HRC/43/51/Add.3</w:t>
        </w:r>
      </w:hyperlink>
      <w:r w:rsidR="00481172" w:rsidRPr="00481172">
        <w:rPr>
          <w:rFonts w:cstheme="minorHAnsi"/>
        </w:rPr>
        <w:t xml:space="preserve">, para 512-514). </w:t>
      </w:r>
    </w:p>
    <w:p w14:paraId="51CC3199" w14:textId="77777777" w:rsidR="007D4337" w:rsidRDefault="007D4337" w:rsidP="007D4337">
      <w:pPr>
        <w:pStyle w:val="Heading2"/>
        <w:numPr>
          <w:ilvl w:val="0"/>
          <w:numId w:val="2"/>
        </w:numPr>
        <w:tabs>
          <w:tab w:val="left" w:pos="545"/>
        </w:tabs>
        <w:ind w:left="544"/>
        <w:jc w:val="both"/>
      </w:pPr>
      <w:r>
        <w:t>Initiatives to foster a rule of law</w:t>
      </w:r>
      <w:r>
        <w:rPr>
          <w:spacing w:val="-6"/>
        </w:rPr>
        <w:t xml:space="preserve"> </w:t>
      </w:r>
      <w:r>
        <w:t>culture</w:t>
      </w:r>
    </w:p>
    <w:p w14:paraId="2197977F" w14:textId="77777777" w:rsidR="00876D36" w:rsidRPr="00FC7632" w:rsidRDefault="007D4337" w:rsidP="00FC7632">
      <w:pPr>
        <w:pStyle w:val="ListParagraph"/>
        <w:widowControl w:val="0"/>
        <w:numPr>
          <w:ilvl w:val="0"/>
          <w:numId w:val="5"/>
        </w:numPr>
        <w:tabs>
          <w:tab w:val="left" w:pos="1217"/>
        </w:tabs>
        <w:autoSpaceDE w:val="0"/>
        <w:autoSpaceDN w:val="0"/>
        <w:spacing w:before="121" w:after="0" w:line="240" w:lineRule="auto"/>
        <w:ind w:right="109" w:hanging="356"/>
        <w:contextualSpacing w:val="0"/>
        <w:jc w:val="both"/>
        <w:rPr>
          <w:i/>
        </w:rPr>
      </w:pPr>
      <w:r>
        <w:rPr>
          <w:i/>
        </w:rPr>
        <w:t>Measures to foster a rule of law culture (e.g. debates in national parliaments on the rule of law, public information campaigns on rule of law issues,</w:t>
      </w:r>
      <w:r>
        <w:rPr>
          <w:i/>
          <w:spacing w:val="-8"/>
        </w:rPr>
        <w:t xml:space="preserve"> </w:t>
      </w:r>
      <w:r>
        <w:rPr>
          <w:i/>
        </w:rPr>
        <w:t>etc.)</w:t>
      </w:r>
    </w:p>
    <w:p w14:paraId="4F9B9F9A" w14:textId="77777777" w:rsidR="007D4337" w:rsidRDefault="007D4337" w:rsidP="007D4337">
      <w:pPr>
        <w:pStyle w:val="Heading2"/>
        <w:spacing w:before="118"/>
        <w:ind w:left="117" w:firstLine="0"/>
        <w:jc w:val="both"/>
      </w:pPr>
      <w:r>
        <w:t>Other – please specify</w:t>
      </w:r>
    </w:p>
    <w:p w14:paraId="2046C731" w14:textId="77777777" w:rsidR="007D4337" w:rsidRDefault="007D4337"/>
    <w:p w14:paraId="56545A06" w14:textId="77777777" w:rsidR="003F6F45" w:rsidRDefault="003F6F45" w:rsidP="00FC6B04">
      <w:pPr>
        <w:pStyle w:val="H23G"/>
        <w:jc w:val="both"/>
        <w:rPr>
          <w:rFonts w:asciiTheme="minorHAnsi" w:hAnsiTheme="minorHAnsi" w:cstheme="minorHAnsi"/>
          <w:sz w:val="24"/>
          <w:szCs w:val="24"/>
        </w:rPr>
      </w:pPr>
    </w:p>
    <w:p w14:paraId="7D0E6CFF" w14:textId="77777777" w:rsidR="00FC6B04" w:rsidRPr="00FC6B04" w:rsidRDefault="00FC6B04" w:rsidP="007323E9">
      <w:pPr>
        <w:ind w:left="1416" w:hanging="1416"/>
        <w:rPr>
          <w:rFonts w:cstheme="minorHAnsi"/>
          <w:sz w:val="24"/>
          <w:szCs w:val="24"/>
          <w:lang w:val="en-GB"/>
        </w:rPr>
      </w:pPr>
    </w:p>
    <w:sectPr w:rsidR="00FC6B04" w:rsidRPr="00FC6B04">
      <w:footerReference w:type="default" r:id="rId33"/>
      <w:pgSz w:w="11906" w:h="16838"/>
      <w:pgMar w:top="1417" w:right="1417" w:bottom="1417"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FB30F" w16cex:dateUtc="2021-03-07T19: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057678F" w16cid:durableId="23EFB30F"/>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6CE7C6" w14:textId="77777777" w:rsidR="001E38BF" w:rsidRDefault="001E38BF">
      <w:pPr>
        <w:spacing w:after="0" w:line="240" w:lineRule="auto"/>
      </w:pPr>
      <w:r>
        <w:separator/>
      </w:r>
    </w:p>
  </w:endnote>
  <w:endnote w:type="continuationSeparator" w:id="0">
    <w:p w14:paraId="2FD7D03C" w14:textId="77777777" w:rsidR="001E38BF" w:rsidRDefault="001E38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rlito">
    <w:altName w:val="Calibri"/>
    <w:charset w:val="00"/>
    <w:family w:val="swiss"/>
    <w:pitch w:val="variable"/>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8C933B" w14:textId="77777777" w:rsidR="00826EAF" w:rsidRDefault="007D4337">
    <w:pPr>
      <w:pStyle w:val="BodyText"/>
      <w:spacing w:before="0" w:line="14" w:lineRule="auto"/>
      <w:ind w:left="0" w:firstLine="0"/>
      <w:rPr>
        <w:i w:val="0"/>
        <w:sz w:val="20"/>
      </w:rPr>
    </w:pPr>
    <w:r>
      <w:rPr>
        <w:noProof/>
      </w:rPr>
      <mc:AlternateContent>
        <mc:Choice Requires="wps">
          <w:drawing>
            <wp:anchor distT="0" distB="0" distL="114300" distR="114300" simplePos="0" relativeHeight="251657216" behindDoc="1" locked="0" layoutInCell="1" allowOverlap="1" wp14:anchorId="139D0797" wp14:editId="0A38F2AB">
              <wp:simplePos x="0" y="0"/>
              <wp:positionH relativeFrom="page">
                <wp:posOffset>3718560</wp:posOffset>
              </wp:positionH>
              <wp:positionV relativeFrom="page">
                <wp:posOffset>9958705</wp:posOffset>
              </wp:positionV>
              <wp:extent cx="144780" cy="160020"/>
              <wp:effectExtent l="3810" t="0" r="3810" b="0"/>
              <wp:wrapNone/>
              <wp:docPr id="4" name="Zone de texte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4780" cy="1600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AF55BB" w14:textId="5E2FB5C1" w:rsidR="00826EAF" w:rsidRDefault="006F6F75">
                          <w:pPr>
                            <w:spacing w:line="235" w:lineRule="exact"/>
                            <w:ind w:left="60"/>
                            <w:rPr>
                              <w:sz w:val="21"/>
                            </w:rPr>
                          </w:pPr>
                          <w:r>
                            <w:fldChar w:fldCharType="begin"/>
                          </w:r>
                          <w:r>
                            <w:rPr>
                              <w:sz w:val="21"/>
                            </w:rPr>
                            <w:instrText xml:space="preserve"> PAGE </w:instrText>
                          </w:r>
                          <w:r>
                            <w:fldChar w:fldCharType="separate"/>
                          </w:r>
                          <w:r w:rsidR="00DB2E55">
                            <w:rPr>
                              <w:noProof/>
                              <w:sz w:val="21"/>
                            </w:rPr>
                            <w:t>2</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39D0797" id="_x0000_t202" coordsize="21600,21600" o:spt="202" path="m,l,21600r21600,l21600,xe">
              <v:stroke joinstyle="miter"/>
              <v:path gradientshapeok="t" o:connecttype="rect"/>
            </v:shapetype>
            <v:shape id="Zone de texte 4" o:spid="_x0000_s1026" type="#_x0000_t202" style="position:absolute;margin-left:292.8pt;margin-top:784.15pt;width:11.4pt;height:12.6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" filled="f" stroked="f">
              <v:textbox inset="0,0,0,0">
                <w:txbxContent>
                  <w:p w14:paraId="07AF55BB" w14:textId="5E2FB5C1" w:rsidR="00826EAF" w:rsidRDefault="006F6F75">
                    <w:pPr>
                      <w:spacing w:line="235" w:lineRule="exact"/>
                      <w:ind w:left="60"/>
                      <w:rPr>
                        <w:sz w:val="21"/>
                      </w:rPr>
                    </w:pPr>
                    <w:r>
                      <w:fldChar w:fldCharType="begin"/>
                    </w:r>
                    <w:r>
                      <w:rPr>
                        <w:sz w:val="21"/>
                      </w:rPr>
                      <w:instrText xml:space="preserve"> PAGE </w:instrText>
                    </w:r>
                    <w:r>
                      <w:fldChar w:fldCharType="separate"/>
                    </w:r>
                    <w:r w:rsidR="00DB2E55">
                      <w:rPr>
                        <w:noProof/>
                        <w:sz w:val="21"/>
                      </w:rPr>
                      <w:t>2</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1A74B4" w14:textId="77777777" w:rsidR="001E38BF" w:rsidRDefault="001E38BF">
      <w:pPr>
        <w:spacing w:after="0" w:line="240" w:lineRule="auto"/>
      </w:pPr>
      <w:r>
        <w:separator/>
      </w:r>
    </w:p>
  </w:footnote>
  <w:footnote w:type="continuationSeparator" w:id="0">
    <w:p w14:paraId="712B79E3" w14:textId="77777777" w:rsidR="001E38BF" w:rsidRDefault="001E38BF">
      <w:pPr>
        <w:spacing w:after="0" w:line="240" w:lineRule="auto"/>
      </w:pPr>
      <w:r>
        <w:continuationSeparator/>
      </w:r>
    </w:p>
  </w:footnote>
  <w:footnote w:id="1">
    <w:p w14:paraId="45C2302F" w14:textId="77777777" w:rsidR="00525DD2" w:rsidRPr="00525DD2" w:rsidRDefault="00525DD2" w:rsidP="00525DD2">
      <w:pPr>
        <w:tabs>
          <w:tab w:val="left" w:pos="399"/>
        </w:tabs>
        <w:spacing w:before="78" w:after="0"/>
        <w:rPr>
          <w:sz w:val="18"/>
        </w:rPr>
      </w:pPr>
      <w:r>
        <w:rPr>
          <w:rStyle w:val="FootnoteReference"/>
        </w:rPr>
        <w:footnoteRef/>
      </w:r>
      <w:r>
        <w:t xml:space="preserve"> </w:t>
      </w:r>
      <w:r>
        <w:rPr>
          <w:sz w:val="18"/>
        </w:rPr>
        <w:t>The reference to ‘judges’ concerns judges at all level and types of courts as well as judges at constitutional</w:t>
      </w:r>
      <w:r>
        <w:rPr>
          <w:spacing w:val="-27"/>
          <w:sz w:val="18"/>
        </w:rPr>
        <w:t xml:space="preserve"> </w:t>
      </w:r>
      <w:r>
        <w:rPr>
          <w:sz w:val="18"/>
        </w:rPr>
        <w:t>courts.</w:t>
      </w:r>
    </w:p>
  </w:footnote>
  <w:footnote w:id="2">
    <w:p w14:paraId="45BF5F67" w14:textId="77777777" w:rsidR="00525DD2" w:rsidRDefault="00525DD2" w:rsidP="00525DD2">
      <w:pPr>
        <w:pStyle w:val="FootnoteText"/>
      </w:pPr>
      <w:r>
        <w:rPr>
          <w:rStyle w:val="FootnoteReference"/>
        </w:rPr>
        <w:footnoteRef/>
      </w:r>
      <w:r>
        <w:t xml:space="preserve"> </w:t>
      </w:r>
      <w:r>
        <w:rPr>
          <w:sz w:val="18"/>
        </w:rPr>
        <w:t>Under this topic, Member States are not required to give statistical information but should provide input on the type of</w:t>
      </w:r>
      <w:bookmarkStart w:id="3" w:name="_bookmark2"/>
      <w:bookmarkEnd w:id="3"/>
      <w:r>
        <w:rPr>
          <w:sz w:val="18"/>
        </w:rPr>
        <w:t xml:space="preserve"> information outlined under section</w:t>
      </w:r>
      <w:r>
        <w:rPr>
          <w:spacing w:val="-5"/>
          <w:sz w:val="18"/>
        </w:rPr>
        <w:t xml:space="preserve"> </w:t>
      </w:r>
      <w:r>
        <w:rPr>
          <w:sz w:val="18"/>
        </w:rPr>
        <w:t>2.</w:t>
      </w:r>
    </w:p>
  </w:footnote>
  <w:footnote w:id="3">
    <w:p w14:paraId="59BBD493" w14:textId="77777777" w:rsidR="00525DD2" w:rsidRDefault="00525DD2">
      <w:pPr>
        <w:pStyle w:val="FootnoteText"/>
      </w:pPr>
      <w:r>
        <w:rPr>
          <w:rStyle w:val="FootnoteReference"/>
        </w:rPr>
        <w:footnoteRef/>
      </w:r>
      <w:r>
        <w:t xml:space="preserve"> </w:t>
      </w:r>
      <w:r>
        <w:rPr>
          <w:sz w:val="18"/>
        </w:rPr>
        <w:t>Material resources refer e.g. to court buildings and other</w:t>
      </w:r>
      <w:r>
        <w:rPr>
          <w:spacing w:val="-8"/>
          <w:sz w:val="18"/>
        </w:rPr>
        <w:t xml:space="preserve"> </w:t>
      </w:r>
      <w:r>
        <w:rPr>
          <w:sz w:val="18"/>
        </w:rPr>
        <w:t>facilities</w:t>
      </w:r>
    </w:p>
  </w:footnote>
  <w:footnote w:id="4">
    <w:p w14:paraId="15D6E34C" w14:textId="77777777" w:rsidR="00525DD2" w:rsidRDefault="00525DD2">
      <w:pPr>
        <w:pStyle w:val="FootnoteText"/>
      </w:pPr>
      <w:r>
        <w:rPr>
          <w:rStyle w:val="FootnoteReference"/>
        </w:rPr>
        <w:footnoteRef/>
      </w:r>
      <w:r>
        <w:t xml:space="preserve"> </w:t>
      </w:r>
      <w:r>
        <w:rPr>
          <w:sz w:val="18"/>
        </w:rPr>
        <w:t>Factual information presented in Commission Staff Working Document of 2 December 2020, SWD(2020) 540 final, accompanying the Communication on Digitalisation of justice in the European Union, COM(2020) 710 final, does not need to be repeated</w:t>
      </w:r>
    </w:p>
  </w:footnote>
  <w:footnote w:id="5">
    <w:p w14:paraId="6FDA908E" w14:textId="77777777" w:rsidR="00525DD2" w:rsidRDefault="00525DD2">
      <w:pPr>
        <w:pStyle w:val="FootnoteText"/>
      </w:pPr>
      <w:r>
        <w:rPr>
          <w:rStyle w:val="FootnoteReference"/>
        </w:rPr>
        <w:footnoteRef/>
      </w:r>
      <w:r>
        <w:t xml:space="preserve"> </w:t>
      </w:r>
      <w:r>
        <w:rPr>
          <w:sz w:val="18"/>
        </w:rPr>
        <w:t>Under this topic, Member States are not required to give statistical information but should provide input on the type of information outlined under section 2</w:t>
      </w:r>
    </w:p>
  </w:footnote>
  <w:footnote w:id="6">
    <w:p w14:paraId="2EE88F66" w14:textId="77777777" w:rsidR="00525DD2" w:rsidRDefault="00525DD2">
      <w:pPr>
        <w:pStyle w:val="FootnoteText"/>
      </w:pPr>
      <w:r>
        <w:rPr>
          <w:rStyle w:val="FootnoteReference"/>
        </w:rPr>
        <w:footnoteRef/>
      </w:r>
      <w:r>
        <w:t xml:space="preserve"> </w:t>
      </w:r>
      <w:r>
        <w:rPr>
          <w:sz w:val="18"/>
        </w:rPr>
        <w:t>Cf. Article 30 of Directive</w:t>
      </w:r>
      <w:r>
        <w:rPr>
          <w:spacing w:val="-3"/>
          <w:sz w:val="18"/>
        </w:rPr>
        <w:t xml:space="preserve"> </w:t>
      </w:r>
      <w:r>
        <w:rPr>
          <w:sz w:val="18"/>
        </w:rPr>
        <w:t>2018/1808.</w:t>
      </w:r>
    </w:p>
  </w:footnote>
  <w:footnote w:id="7">
    <w:p w14:paraId="2AD2009E" w14:textId="77777777" w:rsidR="00525DD2" w:rsidRDefault="00525DD2">
      <w:pPr>
        <w:pStyle w:val="FootnoteText"/>
      </w:pPr>
      <w:r>
        <w:rPr>
          <w:rStyle w:val="FootnoteReference"/>
        </w:rPr>
        <w:footnoteRef/>
      </w:r>
      <w:r>
        <w:t xml:space="preserve"> </w:t>
      </w:r>
      <w:r>
        <w:rPr>
          <w:sz w:val="18"/>
        </w:rPr>
        <w:t xml:space="preserve">Cf. the website of the European Court of Auditors: </w:t>
      </w:r>
      <w:hyperlink r:id="rId1">
        <w:r>
          <w:rPr>
            <w:color w:val="0563C1"/>
            <w:sz w:val="18"/>
            <w:u w:val="single" w:color="0563C1"/>
          </w:rPr>
          <w:t>https://www.eca.europa.eu/en/Pages/SupremeAuditInstitutions.aspx#</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D11E2"/>
    <w:multiLevelType w:val="hybridMultilevel"/>
    <w:tmpl w:val="8E942834"/>
    <w:lvl w:ilvl="0" w:tplc="96666FE4">
      <w:start w:val="11"/>
      <w:numFmt w:val="decimal"/>
      <w:lvlText w:val="%1."/>
      <w:lvlJc w:val="left"/>
      <w:pPr>
        <w:ind w:left="1216" w:hanging="361"/>
      </w:pPr>
      <w:rPr>
        <w:rFonts w:ascii="Carlito" w:eastAsia="Carlito" w:hAnsi="Carlito" w:cs="Carlito" w:hint="default"/>
        <w:i/>
        <w:w w:val="100"/>
        <w:sz w:val="22"/>
        <w:szCs w:val="22"/>
        <w:lang w:val="en-US" w:eastAsia="en-US" w:bidi="ar-SA"/>
      </w:rPr>
    </w:lvl>
    <w:lvl w:ilvl="1" w:tplc="083A08A8">
      <w:numFmt w:val="bullet"/>
      <w:lvlText w:val="-"/>
      <w:lvlJc w:val="left"/>
      <w:pPr>
        <w:ind w:left="1575" w:hanging="360"/>
      </w:pPr>
      <w:rPr>
        <w:rFonts w:ascii="Arial" w:eastAsia="Arial" w:hAnsi="Arial" w:cs="Arial" w:hint="default"/>
        <w:w w:val="100"/>
        <w:sz w:val="22"/>
        <w:szCs w:val="22"/>
        <w:lang w:val="en-US" w:eastAsia="en-US" w:bidi="ar-SA"/>
      </w:rPr>
    </w:lvl>
    <w:lvl w:ilvl="2" w:tplc="6E0E7B2C">
      <w:numFmt w:val="bullet"/>
      <w:lvlText w:val="•"/>
      <w:lvlJc w:val="left"/>
      <w:pPr>
        <w:ind w:left="2442" w:hanging="360"/>
      </w:pPr>
      <w:rPr>
        <w:rFonts w:hint="default"/>
        <w:lang w:val="en-US" w:eastAsia="en-US" w:bidi="ar-SA"/>
      </w:rPr>
    </w:lvl>
    <w:lvl w:ilvl="3" w:tplc="A92472CC">
      <w:numFmt w:val="bullet"/>
      <w:lvlText w:val="•"/>
      <w:lvlJc w:val="left"/>
      <w:pPr>
        <w:ind w:left="3304" w:hanging="360"/>
      </w:pPr>
      <w:rPr>
        <w:rFonts w:hint="default"/>
        <w:lang w:val="en-US" w:eastAsia="en-US" w:bidi="ar-SA"/>
      </w:rPr>
    </w:lvl>
    <w:lvl w:ilvl="4" w:tplc="93C8C310">
      <w:numFmt w:val="bullet"/>
      <w:lvlText w:val="•"/>
      <w:lvlJc w:val="left"/>
      <w:pPr>
        <w:ind w:left="4166" w:hanging="360"/>
      </w:pPr>
      <w:rPr>
        <w:rFonts w:hint="default"/>
        <w:lang w:val="en-US" w:eastAsia="en-US" w:bidi="ar-SA"/>
      </w:rPr>
    </w:lvl>
    <w:lvl w:ilvl="5" w:tplc="E6FE1D9E">
      <w:numFmt w:val="bullet"/>
      <w:lvlText w:val="•"/>
      <w:lvlJc w:val="left"/>
      <w:pPr>
        <w:ind w:left="5028" w:hanging="360"/>
      </w:pPr>
      <w:rPr>
        <w:rFonts w:hint="default"/>
        <w:lang w:val="en-US" w:eastAsia="en-US" w:bidi="ar-SA"/>
      </w:rPr>
    </w:lvl>
    <w:lvl w:ilvl="6" w:tplc="A62C5E08">
      <w:numFmt w:val="bullet"/>
      <w:lvlText w:val="•"/>
      <w:lvlJc w:val="left"/>
      <w:pPr>
        <w:ind w:left="5890" w:hanging="360"/>
      </w:pPr>
      <w:rPr>
        <w:rFonts w:hint="default"/>
        <w:lang w:val="en-US" w:eastAsia="en-US" w:bidi="ar-SA"/>
      </w:rPr>
    </w:lvl>
    <w:lvl w:ilvl="7" w:tplc="E200C2BE">
      <w:numFmt w:val="bullet"/>
      <w:lvlText w:val="•"/>
      <w:lvlJc w:val="left"/>
      <w:pPr>
        <w:ind w:left="6752" w:hanging="360"/>
      </w:pPr>
      <w:rPr>
        <w:rFonts w:hint="default"/>
        <w:lang w:val="en-US" w:eastAsia="en-US" w:bidi="ar-SA"/>
      </w:rPr>
    </w:lvl>
    <w:lvl w:ilvl="8" w:tplc="65666046">
      <w:numFmt w:val="bullet"/>
      <w:lvlText w:val="•"/>
      <w:lvlJc w:val="left"/>
      <w:pPr>
        <w:ind w:left="7614" w:hanging="360"/>
      </w:pPr>
      <w:rPr>
        <w:rFonts w:hint="default"/>
        <w:lang w:val="en-US" w:eastAsia="en-US" w:bidi="ar-SA"/>
      </w:rPr>
    </w:lvl>
  </w:abstractNum>
  <w:abstractNum w:abstractNumId="1" w15:restartNumberingAfterBreak="0">
    <w:nsid w:val="022E3D85"/>
    <w:multiLevelType w:val="hybridMultilevel"/>
    <w:tmpl w:val="BE822F10"/>
    <w:lvl w:ilvl="0" w:tplc="03124208">
      <w:start w:val="1"/>
      <w:numFmt w:val="upperRoman"/>
      <w:lvlText w:val="%1."/>
      <w:lvlJc w:val="left"/>
      <w:pPr>
        <w:ind w:left="464" w:hanging="348"/>
      </w:pPr>
      <w:rPr>
        <w:rFonts w:ascii="Carlito" w:eastAsia="Carlito" w:hAnsi="Carlito" w:cs="Carlito" w:hint="default"/>
        <w:b/>
        <w:bCs/>
        <w:spacing w:val="0"/>
        <w:w w:val="100"/>
        <w:sz w:val="22"/>
        <w:szCs w:val="22"/>
        <w:lang w:val="en-US" w:eastAsia="en-US" w:bidi="ar-SA"/>
      </w:rPr>
    </w:lvl>
    <w:lvl w:ilvl="1" w:tplc="B54EE138">
      <w:numFmt w:val="bullet"/>
      <w:lvlText w:val="•"/>
      <w:lvlJc w:val="left"/>
      <w:pPr>
        <w:ind w:left="1347" w:hanging="348"/>
      </w:pPr>
      <w:rPr>
        <w:rFonts w:hint="default"/>
        <w:lang w:val="en-US" w:eastAsia="en-US" w:bidi="ar-SA"/>
      </w:rPr>
    </w:lvl>
    <w:lvl w:ilvl="2" w:tplc="E53A8D22">
      <w:numFmt w:val="bullet"/>
      <w:lvlText w:val="•"/>
      <w:lvlJc w:val="left"/>
      <w:pPr>
        <w:ind w:left="2235" w:hanging="348"/>
      </w:pPr>
      <w:rPr>
        <w:rFonts w:hint="default"/>
        <w:lang w:val="en-US" w:eastAsia="en-US" w:bidi="ar-SA"/>
      </w:rPr>
    </w:lvl>
    <w:lvl w:ilvl="3" w:tplc="D3AE651C">
      <w:numFmt w:val="bullet"/>
      <w:lvlText w:val="•"/>
      <w:lvlJc w:val="left"/>
      <w:pPr>
        <w:ind w:left="3123" w:hanging="348"/>
      </w:pPr>
      <w:rPr>
        <w:rFonts w:hint="default"/>
        <w:lang w:val="en-US" w:eastAsia="en-US" w:bidi="ar-SA"/>
      </w:rPr>
    </w:lvl>
    <w:lvl w:ilvl="4" w:tplc="3BBAC48E">
      <w:numFmt w:val="bullet"/>
      <w:lvlText w:val="•"/>
      <w:lvlJc w:val="left"/>
      <w:pPr>
        <w:ind w:left="4011" w:hanging="348"/>
      </w:pPr>
      <w:rPr>
        <w:rFonts w:hint="default"/>
        <w:lang w:val="en-US" w:eastAsia="en-US" w:bidi="ar-SA"/>
      </w:rPr>
    </w:lvl>
    <w:lvl w:ilvl="5" w:tplc="1460F44C">
      <w:numFmt w:val="bullet"/>
      <w:lvlText w:val="•"/>
      <w:lvlJc w:val="left"/>
      <w:pPr>
        <w:ind w:left="4899" w:hanging="348"/>
      </w:pPr>
      <w:rPr>
        <w:rFonts w:hint="default"/>
        <w:lang w:val="en-US" w:eastAsia="en-US" w:bidi="ar-SA"/>
      </w:rPr>
    </w:lvl>
    <w:lvl w:ilvl="6" w:tplc="C8F87BF6">
      <w:numFmt w:val="bullet"/>
      <w:lvlText w:val="•"/>
      <w:lvlJc w:val="left"/>
      <w:pPr>
        <w:ind w:left="5787" w:hanging="348"/>
      </w:pPr>
      <w:rPr>
        <w:rFonts w:hint="default"/>
        <w:lang w:val="en-US" w:eastAsia="en-US" w:bidi="ar-SA"/>
      </w:rPr>
    </w:lvl>
    <w:lvl w:ilvl="7" w:tplc="2D48B25A">
      <w:numFmt w:val="bullet"/>
      <w:lvlText w:val="•"/>
      <w:lvlJc w:val="left"/>
      <w:pPr>
        <w:ind w:left="6675" w:hanging="348"/>
      </w:pPr>
      <w:rPr>
        <w:rFonts w:hint="default"/>
        <w:lang w:val="en-US" w:eastAsia="en-US" w:bidi="ar-SA"/>
      </w:rPr>
    </w:lvl>
    <w:lvl w:ilvl="8" w:tplc="B6FC5796">
      <w:numFmt w:val="bullet"/>
      <w:lvlText w:val="•"/>
      <w:lvlJc w:val="left"/>
      <w:pPr>
        <w:ind w:left="7563" w:hanging="348"/>
      </w:pPr>
      <w:rPr>
        <w:rFonts w:hint="default"/>
        <w:lang w:val="en-US" w:eastAsia="en-US" w:bidi="ar-SA"/>
      </w:rPr>
    </w:lvl>
  </w:abstractNum>
  <w:abstractNum w:abstractNumId="2" w15:restartNumberingAfterBreak="0">
    <w:nsid w:val="034D48CC"/>
    <w:multiLevelType w:val="hybridMultilevel"/>
    <w:tmpl w:val="61207C40"/>
    <w:lvl w:ilvl="0" w:tplc="2946BC74">
      <w:start w:val="15"/>
      <w:numFmt w:val="bullet"/>
      <w:lvlText w:val=""/>
      <w:lvlJc w:val="left"/>
      <w:pPr>
        <w:ind w:left="720" w:hanging="360"/>
      </w:pPr>
      <w:rPr>
        <w:rFonts w:ascii="Symbol" w:eastAsiaTheme="minorHAnsi"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C23349"/>
    <w:multiLevelType w:val="hybridMultilevel"/>
    <w:tmpl w:val="8AF0BE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473478"/>
    <w:multiLevelType w:val="hybridMultilevel"/>
    <w:tmpl w:val="18363370"/>
    <w:lvl w:ilvl="0" w:tplc="C01C8A2E">
      <w:start w:val="1"/>
      <w:numFmt w:val="upperLetter"/>
      <w:lvlText w:val="%1."/>
      <w:lvlJc w:val="left"/>
      <w:pPr>
        <w:ind w:left="543" w:hanging="428"/>
      </w:pPr>
      <w:rPr>
        <w:rFonts w:ascii="Carlito" w:eastAsia="Carlito" w:hAnsi="Carlito" w:cs="Carlito" w:hint="default"/>
        <w:b/>
        <w:bCs/>
        <w:i/>
        <w:w w:val="100"/>
        <w:sz w:val="22"/>
        <w:szCs w:val="22"/>
        <w:lang w:val="en-US" w:eastAsia="en-US" w:bidi="ar-SA"/>
      </w:rPr>
    </w:lvl>
    <w:lvl w:ilvl="1" w:tplc="88048418">
      <w:numFmt w:val="bullet"/>
      <w:lvlText w:val="•"/>
      <w:lvlJc w:val="left"/>
      <w:pPr>
        <w:ind w:left="1419" w:hanging="428"/>
      </w:pPr>
      <w:rPr>
        <w:rFonts w:hint="default"/>
        <w:lang w:val="en-US" w:eastAsia="en-US" w:bidi="ar-SA"/>
      </w:rPr>
    </w:lvl>
    <w:lvl w:ilvl="2" w:tplc="293E9DD4">
      <w:numFmt w:val="bullet"/>
      <w:lvlText w:val="•"/>
      <w:lvlJc w:val="left"/>
      <w:pPr>
        <w:ind w:left="2299" w:hanging="428"/>
      </w:pPr>
      <w:rPr>
        <w:rFonts w:hint="default"/>
        <w:lang w:val="en-US" w:eastAsia="en-US" w:bidi="ar-SA"/>
      </w:rPr>
    </w:lvl>
    <w:lvl w:ilvl="3" w:tplc="5E401BA0">
      <w:numFmt w:val="bullet"/>
      <w:lvlText w:val="•"/>
      <w:lvlJc w:val="left"/>
      <w:pPr>
        <w:ind w:left="3179" w:hanging="428"/>
      </w:pPr>
      <w:rPr>
        <w:rFonts w:hint="default"/>
        <w:lang w:val="en-US" w:eastAsia="en-US" w:bidi="ar-SA"/>
      </w:rPr>
    </w:lvl>
    <w:lvl w:ilvl="4" w:tplc="143ECEEA">
      <w:numFmt w:val="bullet"/>
      <w:lvlText w:val="•"/>
      <w:lvlJc w:val="left"/>
      <w:pPr>
        <w:ind w:left="4059" w:hanging="428"/>
      </w:pPr>
      <w:rPr>
        <w:rFonts w:hint="default"/>
        <w:lang w:val="en-US" w:eastAsia="en-US" w:bidi="ar-SA"/>
      </w:rPr>
    </w:lvl>
    <w:lvl w:ilvl="5" w:tplc="963CFEC6">
      <w:numFmt w:val="bullet"/>
      <w:lvlText w:val="•"/>
      <w:lvlJc w:val="left"/>
      <w:pPr>
        <w:ind w:left="4939" w:hanging="428"/>
      </w:pPr>
      <w:rPr>
        <w:rFonts w:hint="default"/>
        <w:lang w:val="en-US" w:eastAsia="en-US" w:bidi="ar-SA"/>
      </w:rPr>
    </w:lvl>
    <w:lvl w:ilvl="6" w:tplc="BBDC8F96">
      <w:numFmt w:val="bullet"/>
      <w:lvlText w:val="•"/>
      <w:lvlJc w:val="left"/>
      <w:pPr>
        <w:ind w:left="5819" w:hanging="428"/>
      </w:pPr>
      <w:rPr>
        <w:rFonts w:hint="default"/>
        <w:lang w:val="en-US" w:eastAsia="en-US" w:bidi="ar-SA"/>
      </w:rPr>
    </w:lvl>
    <w:lvl w:ilvl="7" w:tplc="0D4C8B74">
      <w:numFmt w:val="bullet"/>
      <w:lvlText w:val="•"/>
      <w:lvlJc w:val="left"/>
      <w:pPr>
        <w:ind w:left="6699" w:hanging="428"/>
      </w:pPr>
      <w:rPr>
        <w:rFonts w:hint="default"/>
        <w:lang w:val="en-US" w:eastAsia="en-US" w:bidi="ar-SA"/>
      </w:rPr>
    </w:lvl>
    <w:lvl w:ilvl="8" w:tplc="5060DCA6">
      <w:numFmt w:val="bullet"/>
      <w:lvlText w:val="•"/>
      <w:lvlJc w:val="left"/>
      <w:pPr>
        <w:ind w:left="7579" w:hanging="428"/>
      </w:pPr>
      <w:rPr>
        <w:rFonts w:hint="default"/>
        <w:lang w:val="en-US" w:eastAsia="en-US" w:bidi="ar-SA"/>
      </w:rPr>
    </w:lvl>
  </w:abstractNum>
  <w:abstractNum w:abstractNumId="5" w15:restartNumberingAfterBreak="0">
    <w:nsid w:val="1F6939F7"/>
    <w:multiLevelType w:val="hybridMultilevel"/>
    <w:tmpl w:val="767E1EEE"/>
    <w:lvl w:ilvl="0" w:tplc="080C0011">
      <w:start w:val="1"/>
      <w:numFmt w:val="decimal"/>
      <w:lvlText w:val="%1)"/>
      <w:lvlJc w:val="left"/>
      <w:pPr>
        <w:ind w:left="720" w:hanging="360"/>
      </w:pPr>
      <w:rPr>
        <w:rFonts w:hint="default"/>
      </w:rPr>
    </w:lvl>
    <w:lvl w:ilvl="1" w:tplc="080C0019">
      <w:start w:val="1"/>
      <w:numFmt w:val="lowerLetter"/>
      <w:lvlText w:val="%2."/>
      <w:lvlJc w:val="left"/>
      <w:pPr>
        <w:ind w:left="1440" w:hanging="360"/>
      </w:pPr>
    </w:lvl>
    <w:lvl w:ilvl="2" w:tplc="080C001B">
      <w:start w:val="1"/>
      <w:numFmt w:val="lowerRoman"/>
      <w:lvlText w:val="%3."/>
      <w:lvlJc w:val="right"/>
      <w:pPr>
        <w:ind w:left="2160" w:hanging="180"/>
      </w:pPr>
    </w:lvl>
    <w:lvl w:ilvl="3" w:tplc="10D2A1D4">
      <w:start w:val="4"/>
      <w:numFmt w:val="bullet"/>
      <w:lvlText w:val="-"/>
      <w:lvlJc w:val="left"/>
      <w:pPr>
        <w:ind w:left="2880" w:hanging="360"/>
      </w:pPr>
      <w:rPr>
        <w:rFonts w:ascii="Calibri" w:eastAsiaTheme="minorHAnsi" w:hAnsi="Calibri" w:cs="Calibri" w:hint="default"/>
      </w:r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6" w15:restartNumberingAfterBreak="0">
    <w:nsid w:val="22177C48"/>
    <w:multiLevelType w:val="hybridMultilevel"/>
    <w:tmpl w:val="684EF216"/>
    <w:lvl w:ilvl="0" w:tplc="080C0001">
      <w:start w:val="1"/>
      <w:numFmt w:val="bullet"/>
      <w:lvlText w:val=""/>
      <w:lvlJc w:val="left"/>
      <w:pPr>
        <w:ind w:left="1800" w:hanging="360"/>
      </w:pPr>
      <w:rPr>
        <w:rFonts w:ascii="Symbol" w:hAnsi="Symbol" w:hint="default"/>
      </w:rPr>
    </w:lvl>
    <w:lvl w:ilvl="1" w:tplc="080C0003" w:tentative="1">
      <w:start w:val="1"/>
      <w:numFmt w:val="bullet"/>
      <w:lvlText w:val="o"/>
      <w:lvlJc w:val="left"/>
      <w:pPr>
        <w:ind w:left="2520" w:hanging="360"/>
      </w:pPr>
      <w:rPr>
        <w:rFonts w:ascii="Courier New" w:hAnsi="Courier New" w:cs="Courier New" w:hint="default"/>
      </w:rPr>
    </w:lvl>
    <w:lvl w:ilvl="2" w:tplc="080C0005" w:tentative="1">
      <w:start w:val="1"/>
      <w:numFmt w:val="bullet"/>
      <w:lvlText w:val=""/>
      <w:lvlJc w:val="left"/>
      <w:pPr>
        <w:ind w:left="3240" w:hanging="360"/>
      </w:pPr>
      <w:rPr>
        <w:rFonts w:ascii="Wingdings" w:hAnsi="Wingdings" w:hint="default"/>
      </w:rPr>
    </w:lvl>
    <w:lvl w:ilvl="3" w:tplc="080C0001" w:tentative="1">
      <w:start w:val="1"/>
      <w:numFmt w:val="bullet"/>
      <w:lvlText w:val=""/>
      <w:lvlJc w:val="left"/>
      <w:pPr>
        <w:ind w:left="3960" w:hanging="360"/>
      </w:pPr>
      <w:rPr>
        <w:rFonts w:ascii="Symbol" w:hAnsi="Symbol" w:hint="default"/>
      </w:rPr>
    </w:lvl>
    <w:lvl w:ilvl="4" w:tplc="080C0003" w:tentative="1">
      <w:start w:val="1"/>
      <w:numFmt w:val="bullet"/>
      <w:lvlText w:val="o"/>
      <w:lvlJc w:val="left"/>
      <w:pPr>
        <w:ind w:left="4680" w:hanging="360"/>
      </w:pPr>
      <w:rPr>
        <w:rFonts w:ascii="Courier New" w:hAnsi="Courier New" w:cs="Courier New" w:hint="default"/>
      </w:rPr>
    </w:lvl>
    <w:lvl w:ilvl="5" w:tplc="080C0005" w:tentative="1">
      <w:start w:val="1"/>
      <w:numFmt w:val="bullet"/>
      <w:lvlText w:val=""/>
      <w:lvlJc w:val="left"/>
      <w:pPr>
        <w:ind w:left="5400" w:hanging="360"/>
      </w:pPr>
      <w:rPr>
        <w:rFonts w:ascii="Wingdings" w:hAnsi="Wingdings" w:hint="default"/>
      </w:rPr>
    </w:lvl>
    <w:lvl w:ilvl="6" w:tplc="080C0001" w:tentative="1">
      <w:start w:val="1"/>
      <w:numFmt w:val="bullet"/>
      <w:lvlText w:val=""/>
      <w:lvlJc w:val="left"/>
      <w:pPr>
        <w:ind w:left="6120" w:hanging="360"/>
      </w:pPr>
      <w:rPr>
        <w:rFonts w:ascii="Symbol" w:hAnsi="Symbol" w:hint="default"/>
      </w:rPr>
    </w:lvl>
    <w:lvl w:ilvl="7" w:tplc="080C0003" w:tentative="1">
      <w:start w:val="1"/>
      <w:numFmt w:val="bullet"/>
      <w:lvlText w:val="o"/>
      <w:lvlJc w:val="left"/>
      <w:pPr>
        <w:ind w:left="6840" w:hanging="360"/>
      </w:pPr>
      <w:rPr>
        <w:rFonts w:ascii="Courier New" w:hAnsi="Courier New" w:cs="Courier New" w:hint="default"/>
      </w:rPr>
    </w:lvl>
    <w:lvl w:ilvl="8" w:tplc="080C0005" w:tentative="1">
      <w:start w:val="1"/>
      <w:numFmt w:val="bullet"/>
      <w:lvlText w:val=""/>
      <w:lvlJc w:val="left"/>
      <w:pPr>
        <w:ind w:left="7560" w:hanging="360"/>
      </w:pPr>
      <w:rPr>
        <w:rFonts w:ascii="Wingdings" w:hAnsi="Wingdings" w:hint="default"/>
      </w:rPr>
    </w:lvl>
  </w:abstractNum>
  <w:abstractNum w:abstractNumId="7" w15:restartNumberingAfterBreak="0">
    <w:nsid w:val="22607E4D"/>
    <w:multiLevelType w:val="hybridMultilevel"/>
    <w:tmpl w:val="3A705234"/>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A163DC8"/>
    <w:multiLevelType w:val="hybridMultilevel"/>
    <w:tmpl w:val="AF000096"/>
    <w:lvl w:ilvl="0" w:tplc="D7EE4EBC">
      <w:start w:val="1"/>
      <w:numFmt w:val="upperLetter"/>
      <w:lvlText w:val="%1."/>
      <w:lvlJc w:val="left"/>
      <w:pPr>
        <w:ind w:left="544" w:hanging="428"/>
      </w:pPr>
      <w:rPr>
        <w:rFonts w:ascii="Carlito" w:eastAsia="Carlito" w:hAnsi="Carlito" w:cs="Carlito" w:hint="default"/>
        <w:b/>
        <w:bCs/>
        <w:i/>
        <w:w w:val="100"/>
        <w:sz w:val="22"/>
        <w:szCs w:val="22"/>
        <w:lang w:val="en-US" w:eastAsia="en-US" w:bidi="ar-SA"/>
      </w:rPr>
    </w:lvl>
    <w:lvl w:ilvl="1" w:tplc="FA040ACA">
      <w:numFmt w:val="bullet"/>
      <w:lvlText w:val="•"/>
      <w:lvlJc w:val="left"/>
      <w:pPr>
        <w:ind w:left="1419" w:hanging="428"/>
      </w:pPr>
      <w:rPr>
        <w:rFonts w:hint="default"/>
        <w:lang w:val="en-US" w:eastAsia="en-US" w:bidi="ar-SA"/>
      </w:rPr>
    </w:lvl>
    <w:lvl w:ilvl="2" w:tplc="5F860EA2">
      <w:numFmt w:val="bullet"/>
      <w:lvlText w:val="•"/>
      <w:lvlJc w:val="left"/>
      <w:pPr>
        <w:ind w:left="2299" w:hanging="428"/>
      </w:pPr>
      <w:rPr>
        <w:rFonts w:hint="default"/>
        <w:lang w:val="en-US" w:eastAsia="en-US" w:bidi="ar-SA"/>
      </w:rPr>
    </w:lvl>
    <w:lvl w:ilvl="3" w:tplc="AB28B02A">
      <w:numFmt w:val="bullet"/>
      <w:lvlText w:val="•"/>
      <w:lvlJc w:val="left"/>
      <w:pPr>
        <w:ind w:left="3179" w:hanging="428"/>
      </w:pPr>
      <w:rPr>
        <w:rFonts w:hint="default"/>
        <w:lang w:val="en-US" w:eastAsia="en-US" w:bidi="ar-SA"/>
      </w:rPr>
    </w:lvl>
    <w:lvl w:ilvl="4" w:tplc="C968360A">
      <w:numFmt w:val="bullet"/>
      <w:lvlText w:val="•"/>
      <w:lvlJc w:val="left"/>
      <w:pPr>
        <w:ind w:left="4059" w:hanging="428"/>
      </w:pPr>
      <w:rPr>
        <w:rFonts w:hint="default"/>
        <w:lang w:val="en-US" w:eastAsia="en-US" w:bidi="ar-SA"/>
      </w:rPr>
    </w:lvl>
    <w:lvl w:ilvl="5" w:tplc="967A4CE6">
      <w:numFmt w:val="bullet"/>
      <w:lvlText w:val="•"/>
      <w:lvlJc w:val="left"/>
      <w:pPr>
        <w:ind w:left="4939" w:hanging="428"/>
      </w:pPr>
      <w:rPr>
        <w:rFonts w:hint="default"/>
        <w:lang w:val="en-US" w:eastAsia="en-US" w:bidi="ar-SA"/>
      </w:rPr>
    </w:lvl>
    <w:lvl w:ilvl="6" w:tplc="8CBCB18C">
      <w:numFmt w:val="bullet"/>
      <w:lvlText w:val="•"/>
      <w:lvlJc w:val="left"/>
      <w:pPr>
        <w:ind w:left="5819" w:hanging="428"/>
      </w:pPr>
      <w:rPr>
        <w:rFonts w:hint="default"/>
        <w:lang w:val="en-US" w:eastAsia="en-US" w:bidi="ar-SA"/>
      </w:rPr>
    </w:lvl>
    <w:lvl w:ilvl="7" w:tplc="FAC01978">
      <w:numFmt w:val="bullet"/>
      <w:lvlText w:val="•"/>
      <w:lvlJc w:val="left"/>
      <w:pPr>
        <w:ind w:left="6699" w:hanging="428"/>
      </w:pPr>
      <w:rPr>
        <w:rFonts w:hint="default"/>
        <w:lang w:val="en-US" w:eastAsia="en-US" w:bidi="ar-SA"/>
      </w:rPr>
    </w:lvl>
    <w:lvl w:ilvl="8" w:tplc="60AC028C">
      <w:numFmt w:val="bullet"/>
      <w:lvlText w:val="•"/>
      <w:lvlJc w:val="left"/>
      <w:pPr>
        <w:ind w:left="7579" w:hanging="428"/>
      </w:pPr>
      <w:rPr>
        <w:rFonts w:hint="default"/>
        <w:lang w:val="en-US" w:eastAsia="en-US" w:bidi="ar-SA"/>
      </w:rPr>
    </w:lvl>
  </w:abstractNum>
  <w:abstractNum w:abstractNumId="9" w15:restartNumberingAfterBreak="0">
    <w:nsid w:val="2C3A6C55"/>
    <w:multiLevelType w:val="hybridMultilevel"/>
    <w:tmpl w:val="9AAEB278"/>
    <w:lvl w:ilvl="0" w:tplc="3072FADC">
      <w:start w:val="1"/>
      <w:numFmt w:val="upperLetter"/>
      <w:lvlText w:val="%1."/>
      <w:lvlJc w:val="left"/>
      <w:pPr>
        <w:ind w:left="544" w:hanging="428"/>
      </w:pPr>
      <w:rPr>
        <w:rFonts w:ascii="Carlito" w:eastAsia="Carlito" w:hAnsi="Carlito" w:cs="Carlito" w:hint="default"/>
        <w:b/>
        <w:bCs/>
        <w:i/>
        <w:w w:val="100"/>
        <w:sz w:val="22"/>
        <w:szCs w:val="22"/>
        <w:lang w:val="en-US" w:eastAsia="en-US" w:bidi="ar-SA"/>
      </w:rPr>
    </w:lvl>
    <w:lvl w:ilvl="1" w:tplc="5D480DEA">
      <w:numFmt w:val="bullet"/>
      <w:lvlText w:val="•"/>
      <w:lvlJc w:val="left"/>
      <w:pPr>
        <w:ind w:left="1419" w:hanging="428"/>
      </w:pPr>
      <w:rPr>
        <w:rFonts w:hint="default"/>
        <w:lang w:val="en-US" w:eastAsia="en-US" w:bidi="ar-SA"/>
      </w:rPr>
    </w:lvl>
    <w:lvl w:ilvl="2" w:tplc="1250EF86">
      <w:numFmt w:val="bullet"/>
      <w:lvlText w:val="•"/>
      <w:lvlJc w:val="left"/>
      <w:pPr>
        <w:ind w:left="2299" w:hanging="428"/>
      </w:pPr>
      <w:rPr>
        <w:rFonts w:hint="default"/>
        <w:lang w:val="en-US" w:eastAsia="en-US" w:bidi="ar-SA"/>
      </w:rPr>
    </w:lvl>
    <w:lvl w:ilvl="3" w:tplc="6D3E7E14">
      <w:numFmt w:val="bullet"/>
      <w:lvlText w:val="•"/>
      <w:lvlJc w:val="left"/>
      <w:pPr>
        <w:ind w:left="3179" w:hanging="428"/>
      </w:pPr>
      <w:rPr>
        <w:rFonts w:hint="default"/>
        <w:lang w:val="en-US" w:eastAsia="en-US" w:bidi="ar-SA"/>
      </w:rPr>
    </w:lvl>
    <w:lvl w:ilvl="4" w:tplc="52087190">
      <w:numFmt w:val="bullet"/>
      <w:lvlText w:val="•"/>
      <w:lvlJc w:val="left"/>
      <w:pPr>
        <w:ind w:left="4059" w:hanging="428"/>
      </w:pPr>
      <w:rPr>
        <w:rFonts w:hint="default"/>
        <w:lang w:val="en-US" w:eastAsia="en-US" w:bidi="ar-SA"/>
      </w:rPr>
    </w:lvl>
    <w:lvl w:ilvl="5" w:tplc="401858BC">
      <w:numFmt w:val="bullet"/>
      <w:lvlText w:val="•"/>
      <w:lvlJc w:val="left"/>
      <w:pPr>
        <w:ind w:left="4939" w:hanging="428"/>
      </w:pPr>
      <w:rPr>
        <w:rFonts w:hint="default"/>
        <w:lang w:val="en-US" w:eastAsia="en-US" w:bidi="ar-SA"/>
      </w:rPr>
    </w:lvl>
    <w:lvl w:ilvl="6" w:tplc="912840B4">
      <w:numFmt w:val="bullet"/>
      <w:lvlText w:val="•"/>
      <w:lvlJc w:val="left"/>
      <w:pPr>
        <w:ind w:left="5819" w:hanging="428"/>
      </w:pPr>
      <w:rPr>
        <w:rFonts w:hint="default"/>
        <w:lang w:val="en-US" w:eastAsia="en-US" w:bidi="ar-SA"/>
      </w:rPr>
    </w:lvl>
    <w:lvl w:ilvl="7" w:tplc="C3B80610">
      <w:numFmt w:val="bullet"/>
      <w:lvlText w:val="•"/>
      <w:lvlJc w:val="left"/>
      <w:pPr>
        <w:ind w:left="6699" w:hanging="428"/>
      </w:pPr>
      <w:rPr>
        <w:rFonts w:hint="default"/>
        <w:lang w:val="en-US" w:eastAsia="en-US" w:bidi="ar-SA"/>
      </w:rPr>
    </w:lvl>
    <w:lvl w:ilvl="8" w:tplc="DBF28D26">
      <w:numFmt w:val="bullet"/>
      <w:lvlText w:val="•"/>
      <w:lvlJc w:val="left"/>
      <w:pPr>
        <w:ind w:left="7579" w:hanging="428"/>
      </w:pPr>
      <w:rPr>
        <w:rFonts w:hint="default"/>
        <w:lang w:val="en-US" w:eastAsia="en-US" w:bidi="ar-SA"/>
      </w:rPr>
    </w:lvl>
  </w:abstractNum>
  <w:abstractNum w:abstractNumId="10" w15:restartNumberingAfterBreak="0">
    <w:nsid w:val="316B02E5"/>
    <w:multiLevelType w:val="hybridMultilevel"/>
    <w:tmpl w:val="AFC812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B305036"/>
    <w:multiLevelType w:val="hybridMultilevel"/>
    <w:tmpl w:val="E586DD30"/>
    <w:lvl w:ilvl="0" w:tplc="0409000B">
      <w:start w:val="1"/>
      <w:numFmt w:val="bullet"/>
      <w:lvlText w:val=""/>
      <w:lvlJc w:val="left"/>
      <w:pPr>
        <w:ind w:left="408" w:hanging="360"/>
      </w:pPr>
      <w:rPr>
        <w:rFonts w:ascii="Wingdings" w:hAnsi="Wingdings"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2" w15:restartNumberingAfterBreak="0">
    <w:nsid w:val="435D7957"/>
    <w:multiLevelType w:val="hybridMultilevel"/>
    <w:tmpl w:val="963054C2"/>
    <w:lvl w:ilvl="0" w:tplc="080C000B">
      <w:start w:val="1"/>
      <w:numFmt w:val="bullet"/>
      <w:lvlText w:val=""/>
      <w:lvlJc w:val="left"/>
      <w:pPr>
        <w:ind w:left="720" w:hanging="360"/>
      </w:pPr>
      <w:rPr>
        <w:rFonts w:ascii="Wingdings" w:hAnsi="Wingdings"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3" w15:restartNumberingAfterBreak="0">
    <w:nsid w:val="4C74492B"/>
    <w:multiLevelType w:val="hybridMultilevel"/>
    <w:tmpl w:val="8616671A"/>
    <w:lvl w:ilvl="0" w:tplc="0409000B">
      <w:start w:val="1"/>
      <w:numFmt w:val="bullet"/>
      <w:lvlText w:val=""/>
      <w:lvlJc w:val="left"/>
      <w:pPr>
        <w:ind w:left="836" w:hanging="360"/>
      </w:pPr>
      <w:rPr>
        <w:rFonts w:ascii="Wingdings" w:hAnsi="Wingdings" w:hint="default"/>
      </w:rPr>
    </w:lvl>
    <w:lvl w:ilvl="1" w:tplc="04090003" w:tentative="1">
      <w:start w:val="1"/>
      <w:numFmt w:val="bullet"/>
      <w:lvlText w:val="o"/>
      <w:lvlJc w:val="left"/>
      <w:pPr>
        <w:ind w:left="1556" w:hanging="360"/>
      </w:pPr>
      <w:rPr>
        <w:rFonts w:ascii="Courier New" w:hAnsi="Courier New" w:cs="Courier New" w:hint="default"/>
      </w:rPr>
    </w:lvl>
    <w:lvl w:ilvl="2" w:tplc="04090005" w:tentative="1">
      <w:start w:val="1"/>
      <w:numFmt w:val="bullet"/>
      <w:lvlText w:val=""/>
      <w:lvlJc w:val="left"/>
      <w:pPr>
        <w:ind w:left="2276" w:hanging="360"/>
      </w:pPr>
      <w:rPr>
        <w:rFonts w:ascii="Wingdings" w:hAnsi="Wingdings" w:hint="default"/>
      </w:rPr>
    </w:lvl>
    <w:lvl w:ilvl="3" w:tplc="04090001" w:tentative="1">
      <w:start w:val="1"/>
      <w:numFmt w:val="bullet"/>
      <w:lvlText w:val=""/>
      <w:lvlJc w:val="left"/>
      <w:pPr>
        <w:ind w:left="2996" w:hanging="360"/>
      </w:pPr>
      <w:rPr>
        <w:rFonts w:ascii="Symbol" w:hAnsi="Symbol" w:hint="default"/>
      </w:rPr>
    </w:lvl>
    <w:lvl w:ilvl="4" w:tplc="04090003" w:tentative="1">
      <w:start w:val="1"/>
      <w:numFmt w:val="bullet"/>
      <w:lvlText w:val="o"/>
      <w:lvlJc w:val="left"/>
      <w:pPr>
        <w:ind w:left="3716" w:hanging="360"/>
      </w:pPr>
      <w:rPr>
        <w:rFonts w:ascii="Courier New" w:hAnsi="Courier New" w:cs="Courier New" w:hint="default"/>
      </w:rPr>
    </w:lvl>
    <w:lvl w:ilvl="5" w:tplc="04090005" w:tentative="1">
      <w:start w:val="1"/>
      <w:numFmt w:val="bullet"/>
      <w:lvlText w:val=""/>
      <w:lvlJc w:val="left"/>
      <w:pPr>
        <w:ind w:left="4436" w:hanging="360"/>
      </w:pPr>
      <w:rPr>
        <w:rFonts w:ascii="Wingdings" w:hAnsi="Wingdings" w:hint="default"/>
      </w:rPr>
    </w:lvl>
    <w:lvl w:ilvl="6" w:tplc="04090001" w:tentative="1">
      <w:start w:val="1"/>
      <w:numFmt w:val="bullet"/>
      <w:lvlText w:val=""/>
      <w:lvlJc w:val="left"/>
      <w:pPr>
        <w:ind w:left="5156" w:hanging="360"/>
      </w:pPr>
      <w:rPr>
        <w:rFonts w:ascii="Symbol" w:hAnsi="Symbol" w:hint="default"/>
      </w:rPr>
    </w:lvl>
    <w:lvl w:ilvl="7" w:tplc="04090003" w:tentative="1">
      <w:start w:val="1"/>
      <w:numFmt w:val="bullet"/>
      <w:lvlText w:val="o"/>
      <w:lvlJc w:val="left"/>
      <w:pPr>
        <w:ind w:left="5876" w:hanging="360"/>
      </w:pPr>
      <w:rPr>
        <w:rFonts w:ascii="Courier New" w:hAnsi="Courier New" w:cs="Courier New" w:hint="default"/>
      </w:rPr>
    </w:lvl>
    <w:lvl w:ilvl="8" w:tplc="04090005" w:tentative="1">
      <w:start w:val="1"/>
      <w:numFmt w:val="bullet"/>
      <w:lvlText w:val=""/>
      <w:lvlJc w:val="left"/>
      <w:pPr>
        <w:ind w:left="6596" w:hanging="360"/>
      </w:pPr>
      <w:rPr>
        <w:rFonts w:ascii="Wingdings" w:hAnsi="Wingdings" w:hint="default"/>
      </w:rPr>
    </w:lvl>
  </w:abstractNum>
  <w:abstractNum w:abstractNumId="14" w15:restartNumberingAfterBreak="0">
    <w:nsid w:val="57842E4C"/>
    <w:multiLevelType w:val="hybridMultilevel"/>
    <w:tmpl w:val="BC266EEE"/>
    <w:lvl w:ilvl="0" w:tplc="080C0001">
      <w:start w:val="1"/>
      <w:numFmt w:val="bullet"/>
      <w:lvlText w:val=""/>
      <w:lvlJc w:val="left"/>
      <w:pPr>
        <w:ind w:left="1800" w:hanging="360"/>
      </w:pPr>
      <w:rPr>
        <w:rFonts w:ascii="Symbol" w:hAnsi="Symbol" w:hint="default"/>
      </w:rPr>
    </w:lvl>
    <w:lvl w:ilvl="1" w:tplc="080C0003" w:tentative="1">
      <w:start w:val="1"/>
      <w:numFmt w:val="bullet"/>
      <w:lvlText w:val="o"/>
      <w:lvlJc w:val="left"/>
      <w:pPr>
        <w:ind w:left="2520" w:hanging="360"/>
      </w:pPr>
      <w:rPr>
        <w:rFonts w:ascii="Courier New" w:hAnsi="Courier New" w:cs="Courier New" w:hint="default"/>
      </w:rPr>
    </w:lvl>
    <w:lvl w:ilvl="2" w:tplc="080C0005" w:tentative="1">
      <w:start w:val="1"/>
      <w:numFmt w:val="bullet"/>
      <w:lvlText w:val=""/>
      <w:lvlJc w:val="left"/>
      <w:pPr>
        <w:ind w:left="3240" w:hanging="360"/>
      </w:pPr>
      <w:rPr>
        <w:rFonts w:ascii="Wingdings" w:hAnsi="Wingdings" w:hint="default"/>
      </w:rPr>
    </w:lvl>
    <w:lvl w:ilvl="3" w:tplc="080C0001" w:tentative="1">
      <w:start w:val="1"/>
      <w:numFmt w:val="bullet"/>
      <w:lvlText w:val=""/>
      <w:lvlJc w:val="left"/>
      <w:pPr>
        <w:ind w:left="3960" w:hanging="360"/>
      </w:pPr>
      <w:rPr>
        <w:rFonts w:ascii="Symbol" w:hAnsi="Symbol" w:hint="default"/>
      </w:rPr>
    </w:lvl>
    <w:lvl w:ilvl="4" w:tplc="080C0003" w:tentative="1">
      <w:start w:val="1"/>
      <w:numFmt w:val="bullet"/>
      <w:lvlText w:val="o"/>
      <w:lvlJc w:val="left"/>
      <w:pPr>
        <w:ind w:left="4680" w:hanging="360"/>
      </w:pPr>
      <w:rPr>
        <w:rFonts w:ascii="Courier New" w:hAnsi="Courier New" w:cs="Courier New" w:hint="default"/>
      </w:rPr>
    </w:lvl>
    <w:lvl w:ilvl="5" w:tplc="080C0005" w:tentative="1">
      <w:start w:val="1"/>
      <w:numFmt w:val="bullet"/>
      <w:lvlText w:val=""/>
      <w:lvlJc w:val="left"/>
      <w:pPr>
        <w:ind w:left="5400" w:hanging="360"/>
      </w:pPr>
      <w:rPr>
        <w:rFonts w:ascii="Wingdings" w:hAnsi="Wingdings" w:hint="default"/>
      </w:rPr>
    </w:lvl>
    <w:lvl w:ilvl="6" w:tplc="080C0001" w:tentative="1">
      <w:start w:val="1"/>
      <w:numFmt w:val="bullet"/>
      <w:lvlText w:val=""/>
      <w:lvlJc w:val="left"/>
      <w:pPr>
        <w:ind w:left="6120" w:hanging="360"/>
      </w:pPr>
      <w:rPr>
        <w:rFonts w:ascii="Symbol" w:hAnsi="Symbol" w:hint="default"/>
      </w:rPr>
    </w:lvl>
    <w:lvl w:ilvl="7" w:tplc="080C0003" w:tentative="1">
      <w:start w:val="1"/>
      <w:numFmt w:val="bullet"/>
      <w:lvlText w:val="o"/>
      <w:lvlJc w:val="left"/>
      <w:pPr>
        <w:ind w:left="6840" w:hanging="360"/>
      </w:pPr>
      <w:rPr>
        <w:rFonts w:ascii="Courier New" w:hAnsi="Courier New" w:cs="Courier New" w:hint="default"/>
      </w:rPr>
    </w:lvl>
    <w:lvl w:ilvl="8" w:tplc="080C0005" w:tentative="1">
      <w:start w:val="1"/>
      <w:numFmt w:val="bullet"/>
      <w:lvlText w:val=""/>
      <w:lvlJc w:val="left"/>
      <w:pPr>
        <w:ind w:left="7560" w:hanging="360"/>
      </w:pPr>
      <w:rPr>
        <w:rFonts w:ascii="Wingdings" w:hAnsi="Wingdings" w:hint="default"/>
      </w:rPr>
    </w:lvl>
  </w:abstractNum>
  <w:abstractNum w:abstractNumId="15" w15:restartNumberingAfterBreak="0">
    <w:nsid w:val="620B7C04"/>
    <w:multiLevelType w:val="hybridMultilevel"/>
    <w:tmpl w:val="E05A72D8"/>
    <w:lvl w:ilvl="0" w:tplc="8F2066CA">
      <w:start w:val="12"/>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F381198"/>
    <w:multiLevelType w:val="hybridMultilevel"/>
    <w:tmpl w:val="2C12FC0C"/>
    <w:lvl w:ilvl="0" w:tplc="0DFE1564">
      <w:start w:val="1"/>
      <w:numFmt w:val="upperLetter"/>
      <w:lvlText w:val="%1."/>
      <w:lvlJc w:val="left"/>
      <w:pPr>
        <w:ind w:left="544" w:hanging="428"/>
      </w:pPr>
      <w:rPr>
        <w:rFonts w:ascii="Carlito" w:eastAsia="Carlito" w:hAnsi="Carlito" w:cs="Carlito" w:hint="default"/>
        <w:b/>
        <w:bCs/>
        <w:i/>
        <w:w w:val="100"/>
        <w:sz w:val="22"/>
        <w:szCs w:val="22"/>
        <w:lang w:val="en-US" w:eastAsia="en-US" w:bidi="ar-SA"/>
      </w:rPr>
    </w:lvl>
    <w:lvl w:ilvl="1" w:tplc="0AB072B8">
      <w:start w:val="1"/>
      <w:numFmt w:val="decimal"/>
      <w:lvlText w:val="%2."/>
      <w:lvlJc w:val="left"/>
      <w:pPr>
        <w:ind w:left="1216" w:hanging="361"/>
      </w:pPr>
      <w:rPr>
        <w:rFonts w:ascii="Carlito" w:eastAsia="Carlito" w:hAnsi="Carlito" w:cs="Carlito" w:hint="default"/>
        <w:i/>
        <w:w w:val="100"/>
        <w:sz w:val="22"/>
        <w:szCs w:val="22"/>
        <w:lang w:val="en-US" w:eastAsia="en-US" w:bidi="ar-SA"/>
      </w:rPr>
    </w:lvl>
    <w:lvl w:ilvl="2" w:tplc="8F3A0722">
      <w:numFmt w:val="bullet"/>
      <w:lvlText w:val="•"/>
      <w:lvlJc w:val="left"/>
      <w:pPr>
        <w:ind w:left="2122" w:hanging="361"/>
      </w:pPr>
      <w:rPr>
        <w:rFonts w:hint="default"/>
        <w:lang w:val="en-US" w:eastAsia="en-US" w:bidi="ar-SA"/>
      </w:rPr>
    </w:lvl>
    <w:lvl w:ilvl="3" w:tplc="1480F00E">
      <w:numFmt w:val="bullet"/>
      <w:lvlText w:val="•"/>
      <w:lvlJc w:val="left"/>
      <w:pPr>
        <w:ind w:left="3024" w:hanging="361"/>
      </w:pPr>
      <w:rPr>
        <w:rFonts w:hint="default"/>
        <w:lang w:val="en-US" w:eastAsia="en-US" w:bidi="ar-SA"/>
      </w:rPr>
    </w:lvl>
    <w:lvl w:ilvl="4" w:tplc="E384BA4E">
      <w:numFmt w:val="bullet"/>
      <w:lvlText w:val="•"/>
      <w:lvlJc w:val="left"/>
      <w:pPr>
        <w:ind w:left="3926" w:hanging="361"/>
      </w:pPr>
      <w:rPr>
        <w:rFonts w:hint="default"/>
        <w:lang w:val="en-US" w:eastAsia="en-US" w:bidi="ar-SA"/>
      </w:rPr>
    </w:lvl>
    <w:lvl w:ilvl="5" w:tplc="C136F13C">
      <w:numFmt w:val="bullet"/>
      <w:lvlText w:val="•"/>
      <w:lvlJc w:val="left"/>
      <w:pPr>
        <w:ind w:left="4828" w:hanging="361"/>
      </w:pPr>
      <w:rPr>
        <w:rFonts w:hint="default"/>
        <w:lang w:val="en-US" w:eastAsia="en-US" w:bidi="ar-SA"/>
      </w:rPr>
    </w:lvl>
    <w:lvl w:ilvl="6" w:tplc="2F66E3D4">
      <w:numFmt w:val="bullet"/>
      <w:lvlText w:val="•"/>
      <w:lvlJc w:val="left"/>
      <w:pPr>
        <w:ind w:left="5730" w:hanging="361"/>
      </w:pPr>
      <w:rPr>
        <w:rFonts w:hint="default"/>
        <w:lang w:val="en-US" w:eastAsia="en-US" w:bidi="ar-SA"/>
      </w:rPr>
    </w:lvl>
    <w:lvl w:ilvl="7" w:tplc="E8E066A4">
      <w:numFmt w:val="bullet"/>
      <w:lvlText w:val="•"/>
      <w:lvlJc w:val="left"/>
      <w:pPr>
        <w:ind w:left="6632" w:hanging="361"/>
      </w:pPr>
      <w:rPr>
        <w:rFonts w:hint="default"/>
        <w:lang w:val="en-US" w:eastAsia="en-US" w:bidi="ar-SA"/>
      </w:rPr>
    </w:lvl>
    <w:lvl w:ilvl="8" w:tplc="319A7012">
      <w:numFmt w:val="bullet"/>
      <w:lvlText w:val="•"/>
      <w:lvlJc w:val="left"/>
      <w:pPr>
        <w:ind w:left="7534" w:hanging="361"/>
      </w:pPr>
      <w:rPr>
        <w:rFonts w:hint="default"/>
        <w:lang w:val="en-US" w:eastAsia="en-US" w:bidi="ar-SA"/>
      </w:rPr>
    </w:lvl>
  </w:abstractNum>
  <w:num w:numId="1">
    <w:abstractNumId w:val="2"/>
  </w:num>
  <w:num w:numId="2">
    <w:abstractNumId w:val="4"/>
  </w:num>
  <w:num w:numId="3">
    <w:abstractNumId w:val="9"/>
  </w:num>
  <w:num w:numId="4">
    <w:abstractNumId w:val="8"/>
  </w:num>
  <w:num w:numId="5">
    <w:abstractNumId w:val="0"/>
  </w:num>
  <w:num w:numId="6">
    <w:abstractNumId w:val="16"/>
  </w:num>
  <w:num w:numId="7">
    <w:abstractNumId w:val="1"/>
  </w:num>
  <w:num w:numId="8">
    <w:abstractNumId w:val="5"/>
  </w:num>
  <w:num w:numId="9">
    <w:abstractNumId w:val="6"/>
  </w:num>
  <w:num w:numId="10">
    <w:abstractNumId w:val="14"/>
  </w:num>
  <w:num w:numId="11">
    <w:abstractNumId w:val="15"/>
  </w:num>
  <w:num w:numId="12">
    <w:abstractNumId w:val="12"/>
  </w:num>
  <w:num w:numId="13">
    <w:abstractNumId w:val="3"/>
  </w:num>
  <w:num w:numId="14">
    <w:abstractNumId w:val="10"/>
  </w:num>
  <w:num w:numId="15">
    <w:abstractNumId w:val="11"/>
  </w:num>
  <w:num w:numId="16">
    <w:abstractNumId w:val="13"/>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4337"/>
    <w:rsid w:val="00061279"/>
    <w:rsid w:val="00061A21"/>
    <w:rsid w:val="000B09A5"/>
    <w:rsid w:val="000C5816"/>
    <w:rsid w:val="000F341A"/>
    <w:rsid w:val="00110457"/>
    <w:rsid w:val="00142DBB"/>
    <w:rsid w:val="001851FF"/>
    <w:rsid w:val="00194754"/>
    <w:rsid w:val="001A0948"/>
    <w:rsid w:val="001E38BF"/>
    <w:rsid w:val="001E412B"/>
    <w:rsid w:val="001E665B"/>
    <w:rsid w:val="00201321"/>
    <w:rsid w:val="0022046E"/>
    <w:rsid w:val="0022326C"/>
    <w:rsid w:val="00234C90"/>
    <w:rsid w:val="002424AF"/>
    <w:rsid w:val="00246FE7"/>
    <w:rsid w:val="002563F3"/>
    <w:rsid w:val="00273139"/>
    <w:rsid w:val="00275605"/>
    <w:rsid w:val="002865C1"/>
    <w:rsid w:val="002A6C4F"/>
    <w:rsid w:val="002D0DDB"/>
    <w:rsid w:val="002D5358"/>
    <w:rsid w:val="002E2767"/>
    <w:rsid w:val="002E56AA"/>
    <w:rsid w:val="00314C4D"/>
    <w:rsid w:val="0032630D"/>
    <w:rsid w:val="00333EFD"/>
    <w:rsid w:val="0034541D"/>
    <w:rsid w:val="0035487C"/>
    <w:rsid w:val="003623C7"/>
    <w:rsid w:val="003A4563"/>
    <w:rsid w:val="003E218A"/>
    <w:rsid w:val="003E3849"/>
    <w:rsid w:val="003F2840"/>
    <w:rsid w:val="003F4AAA"/>
    <w:rsid w:val="003F6F45"/>
    <w:rsid w:val="004001B4"/>
    <w:rsid w:val="00430DF2"/>
    <w:rsid w:val="00481172"/>
    <w:rsid w:val="00492746"/>
    <w:rsid w:val="00495765"/>
    <w:rsid w:val="004A3F5C"/>
    <w:rsid w:val="004B23CB"/>
    <w:rsid w:val="004B2C42"/>
    <w:rsid w:val="00525DD2"/>
    <w:rsid w:val="005427FA"/>
    <w:rsid w:val="005445C9"/>
    <w:rsid w:val="00590CAF"/>
    <w:rsid w:val="005E1FCA"/>
    <w:rsid w:val="00625181"/>
    <w:rsid w:val="00657483"/>
    <w:rsid w:val="00680EE8"/>
    <w:rsid w:val="006968AC"/>
    <w:rsid w:val="006D0A54"/>
    <w:rsid w:val="006D0FB2"/>
    <w:rsid w:val="006D135C"/>
    <w:rsid w:val="006D1372"/>
    <w:rsid w:val="006F3515"/>
    <w:rsid w:val="006F6F75"/>
    <w:rsid w:val="006F7B31"/>
    <w:rsid w:val="00704709"/>
    <w:rsid w:val="0072165E"/>
    <w:rsid w:val="007323E9"/>
    <w:rsid w:val="00735125"/>
    <w:rsid w:val="00750D0F"/>
    <w:rsid w:val="00770B74"/>
    <w:rsid w:val="007812E7"/>
    <w:rsid w:val="00796AE1"/>
    <w:rsid w:val="007C3038"/>
    <w:rsid w:val="007D4337"/>
    <w:rsid w:val="00831520"/>
    <w:rsid w:val="00836EEB"/>
    <w:rsid w:val="00842209"/>
    <w:rsid w:val="00876A77"/>
    <w:rsid w:val="00876D36"/>
    <w:rsid w:val="0089409F"/>
    <w:rsid w:val="008A174C"/>
    <w:rsid w:val="008A1F34"/>
    <w:rsid w:val="008B4C84"/>
    <w:rsid w:val="008C6C0F"/>
    <w:rsid w:val="00920444"/>
    <w:rsid w:val="00920BCC"/>
    <w:rsid w:val="009211D8"/>
    <w:rsid w:val="009445A5"/>
    <w:rsid w:val="00966A0F"/>
    <w:rsid w:val="00971772"/>
    <w:rsid w:val="009A4D4E"/>
    <w:rsid w:val="00A73C3D"/>
    <w:rsid w:val="00A75110"/>
    <w:rsid w:val="00AB0E23"/>
    <w:rsid w:val="00AB45DB"/>
    <w:rsid w:val="00B27B3F"/>
    <w:rsid w:val="00B362B8"/>
    <w:rsid w:val="00B70985"/>
    <w:rsid w:val="00B81BD1"/>
    <w:rsid w:val="00B86B54"/>
    <w:rsid w:val="00BE77C5"/>
    <w:rsid w:val="00BF7B00"/>
    <w:rsid w:val="00BF7D4E"/>
    <w:rsid w:val="00C2511E"/>
    <w:rsid w:val="00C35EA3"/>
    <w:rsid w:val="00D12D4A"/>
    <w:rsid w:val="00D13EBF"/>
    <w:rsid w:val="00D342A6"/>
    <w:rsid w:val="00D375F7"/>
    <w:rsid w:val="00D519A9"/>
    <w:rsid w:val="00D54F8B"/>
    <w:rsid w:val="00D64151"/>
    <w:rsid w:val="00D64B5A"/>
    <w:rsid w:val="00D67EE2"/>
    <w:rsid w:val="00D7341E"/>
    <w:rsid w:val="00D93DE9"/>
    <w:rsid w:val="00DB2E55"/>
    <w:rsid w:val="00E33DA4"/>
    <w:rsid w:val="00E34151"/>
    <w:rsid w:val="00E361CF"/>
    <w:rsid w:val="00E577EB"/>
    <w:rsid w:val="00E86774"/>
    <w:rsid w:val="00E93B89"/>
    <w:rsid w:val="00EB610B"/>
    <w:rsid w:val="00F06D17"/>
    <w:rsid w:val="00F362A3"/>
    <w:rsid w:val="00F44C01"/>
    <w:rsid w:val="00F5078D"/>
    <w:rsid w:val="00F61C20"/>
    <w:rsid w:val="00FA2671"/>
    <w:rsid w:val="00FA369D"/>
    <w:rsid w:val="00FB169E"/>
    <w:rsid w:val="00FC0082"/>
    <w:rsid w:val="00FC6B04"/>
    <w:rsid w:val="00FC7632"/>
    <w:rsid w:val="00FF08FD"/>
  </w:rsids>
  <m:mathPr>
    <m:mathFont m:val="Cambria Math"/>
    <m:brkBin m:val="before"/>
    <m:brkBinSub m:val="--"/>
    <m:smallFrac m:val="0"/>
    <m:dispDef/>
    <m:lMargin m:val="0"/>
    <m:rMargin m:val="0"/>
    <m:defJc m:val="centerGroup"/>
    <m:wrapIndent m:val="1440"/>
    <m:intLim m:val="subSup"/>
    <m:naryLim m:val="undOvr"/>
  </m:mathPr>
  <w:themeFontLang w:val="fr-B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17EF9D"/>
  <w15:chartTrackingRefBased/>
  <w15:docId w15:val="{E2A5D292-62E2-4124-8B19-8B3D116184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B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D4337"/>
    <w:rPr>
      <w:lang w:val="en-US"/>
    </w:rPr>
  </w:style>
  <w:style w:type="paragraph" w:styleId="Heading1">
    <w:name w:val="heading 1"/>
    <w:basedOn w:val="Normal"/>
    <w:link w:val="Heading1Char"/>
    <w:uiPriority w:val="9"/>
    <w:qFormat/>
    <w:rsid w:val="007D4337"/>
    <w:pPr>
      <w:widowControl w:val="0"/>
      <w:autoSpaceDE w:val="0"/>
      <w:autoSpaceDN w:val="0"/>
      <w:spacing w:after="0" w:line="240" w:lineRule="auto"/>
      <w:ind w:left="464" w:hanging="721"/>
      <w:outlineLvl w:val="0"/>
    </w:pPr>
    <w:rPr>
      <w:rFonts w:ascii="Carlito" w:eastAsia="Carlito" w:hAnsi="Carlito" w:cs="Carlito"/>
      <w:b/>
      <w:bCs/>
    </w:rPr>
  </w:style>
  <w:style w:type="paragraph" w:styleId="Heading2">
    <w:name w:val="heading 2"/>
    <w:basedOn w:val="Normal"/>
    <w:link w:val="Heading2Char"/>
    <w:uiPriority w:val="9"/>
    <w:unhideWhenUsed/>
    <w:qFormat/>
    <w:rsid w:val="00EB610B"/>
    <w:pPr>
      <w:widowControl w:val="0"/>
      <w:autoSpaceDE w:val="0"/>
      <w:autoSpaceDN w:val="0"/>
      <w:spacing w:before="120" w:line="240" w:lineRule="auto"/>
      <w:ind w:left="547" w:hanging="432"/>
      <w:outlineLvl w:val="1"/>
    </w:pPr>
    <w:rPr>
      <w:rFonts w:ascii="Carlito" w:eastAsia="Carlito" w:hAnsi="Carlito" w:cs="Carlito"/>
      <w:b/>
      <w:bCs/>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D4337"/>
    <w:pPr>
      <w:ind w:left="720"/>
      <w:contextualSpacing/>
    </w:pPr>
  </w:style>
  <w:style w:type="character" w:customStyle="1" w:styleId="Heading1Char">
    <w:name w:val="Heading 1 Char"/>
    <w:basedOn w:val="DefaultParagraphFont"/>
    <w:link w:val="Heading1"/>
    <w:uiPriority w:val="9"/>
    <w:rsid w:val="007D4337"/>
    <w:rPr>
      <w:rFonts w:ascii="Carlito" w:eastAsia="Carlito" w:hAnsi="Carlito" w:cs="Carlito"/>
      <w:b/>
      <w:bCs/>
      <w:lang w:val="en-US"/>
    </w:rPr>
  </w:style>
  <w:style w:type="character" w:customStyle="1" w:styleId="Heading2Char">
    <w:name w:val="Heading 2 Char"/>
    <w:basedOn w:val="DefaultParagraphFont"/>
    <w:link w:val="Heading2"/>
    <w:uiPriority w:val="9"/>
    <w:rsid w:val="00EB610B"/>
    <w:rPr>
      <w:rFonts w:ascii="Carlito" w:eastAsia="Carlito" w:hAnsi="Carlito" w:cs="Carlito"/>
      <w:b/>
      <w:bCs/>
      <w:i/>
      <w:lang w:val="en-US"/>
    </w:rPr>
  </w:style>
  <w:style w:type="paragraph" w:styleId="BodyText">
    <w:name w:val="Body Text"/>
    <w:basedOn w:val="Normal"/>
    <w:link w:val="BodyTextChar"/>
    <w:uiPriority w:val="1"/>
    <w:qFormat/>
    <w:rsid w:val="007D4337"/>
    <w:pPr>
      <w:widowControl w:val="0"/>
      <w:autoSpaceDE w:val="0"/>
      <w:autoSpaceDN w:val="0"/>
      <w:spacing w:before="120" w:after="0" w:line="240" w:lineRule="auto"/>
      <w:ind w:left="1215" w:hanging="361"/>
    </w:pPr>
    <w:rPr>
      <w:rFonts w:ascii="Carlito" w:eastAsia="Carlito" w:hAnsi="Carlito" w:cs="Carlito"/>
      <w:i/>
    </w:rPr>
  </w:style>
  <w:style w:type="character" w:customStyle="1" w:styleId="BodyTextChar">
    <w:name w:val="Body Text Char"/>
    <w:basedOn w:val="DefaultParagraphFont"/>
    <w:link w:val="BodyText"/>
    <w:uiPriority w:val="1"/>
    <w:rsid w:val="007D4337"/>
    <w:rPr>
      <w:rFonts w:ascii="Carlito" w:eastAsia="Carlito" w:hAnsi="Carlito" w:cs="Carlito"/>
      <w:i/>
      <w:lang w:val="en-US"/>
    </w:rPr>
  </w:style>
  <w:style w:type="character" w:styleId="Hyperlink">
    <w:name w:val="Hyperlink"/>
    <w:basedOn w:val="DefaultParagraphFont"/>
    <w:uiPriority w:val="99"/>
    <w:unhideWhenUsed/>
    <w:rsid w:val="001E412B"/>
    <w:rPr>
      <w:color w:val="0563C1" w:themeColor="hyperlink"/>
      <w:u w:val="single"/>
    </w:rPr>
  </w:style>
  <w:style w:type="character" w:customStyle="1" w:styleId="UnresolvedMention1">
    <w:name w:val="Unresolved Mention1"/>
    <w:basedOn w:val="DefaultParagraphFont"/>
    <w:uiPriority w:val="99"/>
    <w:semiHidden/>
    <w:unhideWhenUsed/>
    <w:rsid w:val="001E412B"/>
    <w:rPr>
      <w:color w:val="605E5C"/>
      <w:shd w:val="clear" w:color="auto" w:fill="E1DFDD"/>
    </w:rPr>
  </w:style>
  <w:style w:type="character" w:styleId="CommentReference">
    <w:name w:val="annotation reference"/>
    <w:basedOn w:val="DefaultParagraphFont"/>
    <w:uiPriority w:val="99"/>
    <w:semiHidden/>
    <w:unhideWhenUsed/>
    <w:rsid w:val="00842209"/>
    <w:rPr>
      <w:sz w:val="16"/>
      <w:szCs w:val="16"/>
    </w:rPr>
  </w:style>
  <w:style w:type="paragraph" w:styleId="CommentText">
    <w:name w:val="annotation text"/>
    <w:basedOn w:val="Normal"/>
    <w:link w:val="CommentTextChar"/>
    <w:uiPriority w:val="99"/>
    <w:unhideWhenUsed/>
    <w:rsid w:val="00842209"/>
    <w:pPr>
      <w:spacing w:line="240" w:lineRule="auto"/>
    </w:pPr>
    <w:rPr>
      <w:sz w:val="20"/>
      <w:szCs w:val="20"/>
    </w:rPr>
  </w:style>
  <w:style w:type="character" w:customStyle="1" w:styleId="CommentTextChar">
    <w:name w:val="Comment Text Char"/>
    <w:basedOn w:val="DefaultParagraphFont"/>
    <w:link w:val="CommentText"/>
    <w:uiPriority w:val="99"/>
    <w:rsid w:val="00842209"/>
    <w:rPr>
      <w:sz w:val="20"/>
      <w:szCs w:val="20"/>
      <w:lang w:val="en-US"/>
    </w:rPr>
  </w:style>
  <w:style w:type="paragraph" w:styleId="CommentSubject">
    <w:name w:val="annotation subject"/>
    <w:basedOn w:val="CommentText"/>
    <w:next w:val="CommentText"/>
    <w:link w:val="CommentSubjectChar"/>
    <w:uiPriority w:val="99"/>
    <w:semiHidden/>
    <w:unhideWhenUsed/>
    <w:rsid w:val="00842209"/>
    <w:rPr>
      <w:b/>
      <w:bCs/>
    </w:rPr>
  </w:style>
  <w:style w:type="character" w:customStyle="1" w:styleId="CommentSubjectChar">
    <w:name w:val="Comment Subject Char"/>
    <w:basedOn w:val="CommentTextChar"/>
    <w:link w:val="CommentSubject"/>
    <w:uiPriority w:val="99"/>
    <w:semiHidden/>
    <w:rsid w:val="00842209"/>
    <w:rPr>
      <w:b/>
      <w:bCs/>
      <w:sz w:val="20"/>
      <w:szCs w:val="20"/>
      <w:lang w:val="en-US"/>
    </w:rPr>
  </w:style>
  <w:style w:type="paragraph" w:styleId="BalloonText">
    <w:name w:val="Balloon Text"/>
    <w:basedOn w:val="Normal"/>
    <w:link w:val="BalloonTextChar"/>
    <w:uiPriority w:val="99"/>
    <w:semiHidden/>
    <w:unhideWhenUsed/>
    <w:rsid w:val="0084220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42209"/>
    <w:rPr>
      <w:rFonts w:ascii="Segoe UI" w:hAnsi="Segoe UI" w:cs="Segoe UI"/>
      <w:sz w:val="18"/>
      <w:szCs w:val="18"/>
      <w:lang w:val="en-US"/>
    </w:rPr>
  </w:style>
  <w:style w:type="paragraph" w:styleId="FootnoteText">
    <w:name w:val="footnote text"/>
    <w:basedOn w:val="Normal"/>
    <w:link w:val="FootnoteTextChar"/>
    <w:uiPriority w:val="99"/>
    <w:semiHidden/>
    <w:unhideWhenUsed/>
    <w:rsid w:val="00525DD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25DD2"/>
    <w:rPr>
      <w:sz w:val="20"/>
      <w:szCs w:val="20"/>
      <w:lang w:val="en-US"/>
    </w:rPr>
  </w:style>
  <w:style w:type="character" w:styleId="FootnoteReference">
    <w:name w:val="footnote reference"/>
    <w:basedOn w:val="DefaultParagraphFont"/>
    <w:uiPriority w:val="99"/>
    <w:semiHidden/>
    <w:unhideWhenUsed/>
    <w:rsid w:val="00525DD2"/>
    <w:rPr>
      <w:vertAlign w:val="superscript"/>
    </w:rPr>
  </w:style>
  <w:style w:type="character" w:styleId="FollowedHyperlink">
    <w:name w:val="FollowedHyperlink"/>
    <w:basedOn w:val="DefaultParagraphFont"/>
    <w:uiPriority w:val="99"/>
    <w:semiHidden/>
    <w:unhideWhenUsed/>
    <w:rsid w:val="00BF7D4E"/>
    <w:rPr>
      <w:color w:val="954F72" w:themeColor="followedHyperlink"/>
      <w:u w:val="single"/>
    </w:rPr>
  </w:style>
  <w:style w:type="character" w:styleId="Strong">
    <w:name w:val="Strong"/>
    <w:basedOn w:val="DefaultParagraphFont"/>
    <w:uiPriority w:val="22"/>
    <w:qFormat/>
    <w:rsid w:val="00D12D4A"/>
    <w:rPr>
      <w:b/>
      <w:bCs/>
    </w:rPr>
  </w:style>
  <w:style w:type="paragraph" w:customStyle="1" w:styleId="H23G">
    <w:name w:val="_ H_2/3_G"/>
    <w:basedOn w:val="Normal"/>
    <w:next w:val="Normal"/>
    <w:rsid w:val="008A174C"/>
    <w:pPr>
      <w:keepNext/>
      <w:keepLines/>
      <w:tabs>
        <w:tab w:val="right" w:pos="851"/>
      </w:tabs>
      <w:suppressAutoHyphens/>
      <w:spacing w:before="240" w:after="120" w:line="240" w:lineRule="exact"/>
      <w:ind w:left="1134" w:right="1134" w:hanging="1134"/>
    </w:pPr>
    <w:rPr>
      <w:rFonts w:ascii="Times New Roman" w:eastAsia="Times New Roman" w:hAnsi="Times New Roman" w:cs="Times New Roman"/>
      <w:b/>
      <w:sz w:val="20"/>
      <w:szCs w:val="20"/>
      <w:lang w:val="en-GB"/>
    </w:rPr>
  </w:style>
  <w:style w:type="paragraph" w:customStyle="1" w:styleId="SingleTxtG">
    <w:name w:val="_ Single Txt_G"/>
    <w:basedOn w:val="Normal"/>
    <w:link w:val="SingleTxtGChar"/>
    <w:rsid w:val="008A174C"/>
    <w:pPr>
      <w:suppressAutoHyphens/>
      <w:spacing w:after="120" w:line="240" w:lineRule="atLeast"/>
      <w:ind w:left="1134" w:right="1134"/>
      <w:jc w:val="both"/>
    </w:pPr>
    <w:rPr>
      <w:rFonts w:ascii="Times New Roman" w:eastAsia="SimSun" w:hAnsi="Times New Roman" w:cs="Times New Roman"/>
      <w:sz w:val="20"/>
      <w:szCs w:val="20"/>
      <w:lang w:val="en-GB" w:eastAsia="zh-CN"/>
    </w:rPr>
  </w:style>
  <w:style w:type="character" w:customStyle="1" w:styleId="SingleTxtGChar">
    <w:name w:val="_ Single Txt_G Char"/>
    <w:basedOn w:val="DefaultParagraphFont"/>
    <w:link w:val="SingleTxtG"/>
    <w:locked/>
    <w:rsid w:val="008A174C"/>
    <w:rPr>
      <w:rFonts w:ascii="Times New Roman" w:eastAsia="SimSun" w:hAnsi="Times New Roman" w:cs="Times New Roman"/>
      <w:sz w:val="20"/>
      <w:szCs w:val="20"/>
      <w:lang w:val="en-GB" w:eastAsia="zh-CN"/>
    </w:rPr>
  </w:style>
  <w:style w:type="table" w:styleId="TableGrid">
    <w:name w:val="Table Grid"/>
    <w:basedOn w:val="TableNormal"/>
    <w:uiPriority w:val="39"/>
    <w:rsid w:val="004001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7518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binternet.ohchr.org/_layouts/15/treatybodyexternal/Download.aspx?symbolno=CEDAW/C/CYP/CO/8&amp;Lang=En" TargetMode="External"/><Relationship Id="rId13" Type="http://schemas.openxmlformats.org/officeDocument/2006/relationships/hyperlink" Target="http://daccess-ods.un.org/access.nsf/Get?Open&amp;DS=A/HRC/41/15&amp;Lang=E" TargetMode="External"/><Relationship Id="rId18" Type="http://schemas.openxmlformats.org/officeDocument/2006/relationships/hyperlink" Target="https://tbinternet.ohchr.org/_layouts/15/treatybodyexternal/Download.aspx?symbolno=CAT/C/CYP/CO/5&amp;Lang=En" TargetMode="External"/><Relationship Id="rId26" Type="http://schemas.openxmlformats.org/officeDocument/2006/relationships/hyperlink" Target="https://tbinternet.ohchr.org/_layouts/15/treatybodyexternal/Download.aspx?symbolno=CAT/C/CYP/CO/5&amp;Lang=En" TargetMode="External"/><Relationship Id="rId3" Type="http://schemas.openxmlformats.org/officeDocument/2006/relationships/styles" Target="styles.xml"/><Relationship Id="rId21" Type="http://schemas.openxmlformats.org/officeDocument/2006/relationships/hyperlink" Target="http://ap.ohchr.org/documents/dpage_e.aspx?si=A/HRC/40/22"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daccess-ods.un.org/access.nsf/Get?Open&amp;DS=A/HRC/41/15/Add.1&amp;Lang=E" TargetMode="External"/><Relationship Id="rId17" Type="http://schemas.openxmlformats.org/officeDocument/2006/relationships/hyperlink" Target="https://undocs.org/en/A/HRC/43/22" TargetMode="External"/><Relationship Id="rId25" Type="http://schemas.openxmlformats.org/officeDocument/2006/relationships/hyperlink" Target="http://daccess-ods.un.org/access.nsf/Get?Open&amp;DS=A/HRC/41/15&amp;Lang=E" TargetMode="External"/><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ap.ohchr.org/documents/dpage_e.aspx?si=A/HRC/40/22" TargetMode="External"/><Relationship Id="rId20" Type="http://schemas.openxmlformats.org/officeDocument/2006/relationships/hyperlink" Target="http://daccess-ods.un.org/access.nsf/Get?Open&amp;DS=A/HRC/41/15&amp;Lang=E" TargetMode="External"/><Relationship Id="rId29" Type="http://schemas.openxmlformats.org/officeDocument/2006/relationships/hyperlink" Target="https://spcommreports.ohchr.org/TmSearch/Result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binternet.ohchr.org/_layouts/15/treatybodyexternal/Download.aspx?symbolno=CAT/C/CYP/CO/5&amp;Lang=En" TargetMode="External"/><Relationship Id="rId24" Type="http://schemas.openxmlformats.org/officeDocument/2006/relationships/hyperlink" Target="http://daccess-ods.un.org/access.nsf/Get?Open&amp;DS=A/HRC/41/15/Add.1&amp;Lang=E" TargetMode="External"/><Relationship Id="rId32" Type="http://schemas.openxmlformats.org/officeDocument/2006/relationships/hyperlink" Target="https://undocs.org/en/A/HRC/43/51/Add.3" TargetMode="External"/><Relationship Id="rId37"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hyperlink" Target="http://ap.ohchr.org/documents/dpage_e.aspx?si=A/HRC/37/22" TargetMode="External"/><Relationship Id="rId23" Type="http://schemas.openxmlformats.org/officeDocument/2006/relationships/hyperlink" Target="https://tbinternet.ohchr.org/_layouts/15/treatybodyexternal/Download.aspx?symbolno=CAT/C/CYP/CO/5&amp;Lang=En" TargetMode="External"/><Relationship Id="rId28" Type="http://schemas.openxmlformats.org/officeDocument/2006/relationships/hyperlink" Target="https://spcommreports.ohchr.org/TMResultsBase/DownLoadPublicCommunicationFile?gId=24873" TargetMode="External"/><Relationship Id="rId36" Type="http://schemas.microsoft.com/office/2018/08/relationships/commentsExtensible" Target="commentsExtensible.xml"/><Relationship Id="rId10" Type="http://schemas.openxmlformats.org/officeDocument/2006/relationships/hyperlink" Target="https://tbinternet.ohchr.org/_layouts/15/treatybodyexternal/Download.aspx?symbolno=CEDAW/C/CYP/CO/8&amp;Lang=En" TargetMode="External"/><Relationship Id="rId19" Type="http://schemas.openxmlformats.org/officeDocument/2006/relationships/hyperlink" Target="http://daccess-ods.un.org/access.nsf/Get?Open&amp;DS=A/HRC/41/15/Add.1&amp;Lang=E" TargetMode="External"/><Relationship Id="rId31" Type="http://schemas.openxmlformats.org/officeDocument/2006/relationships/hyperlink" Target="https://undocs.org/en/A/HRC/33/19" TargetMode="External"/><Relationship Id="rId4" Type="http://schemas.openxmlformats.org/officeDocument/2006/relationships/settings" Target="settings.xml"/><Relationship Id="rId9" Type="http://schemas.openxmlformats.org/officeDocument/2006/relationships/hyperlink" Target="https://tbinternet.ohchr.org/_layouts/15/treatybodyexternal/Download.aspx?symbolno=CAT/C/CYP/CO/5&amp;Lang=En" TargetMode="External"/><Relationship Id="rId14" Type="http://schemas.openxmlformats.org/officeDocument/2006/relationships/hyperlink" Target="https://tbinternet.ohchr.org/_layouts/15/treatybodyexternal/Download.aspx?symbolno=CEDAW/C/CYP/CO/8&amp;Lang=En" TargetMode="External"/><Relationship Id="rId22" Type="http://schemas.openxmlformats.org/officeDocument/2006/relationships/hyperlink" Target="https://tbinternet.ohchr.org/_layouts/15/treatybodyexternal/Download.aspx?symbolno=CEDAW/C/CYP/CO/8&amp;Lang=En" TargetMode="External"/><Relationship Id="rId27" Type="http://schemas.openxmlformats.org/officeDocument/2006/relationships/hyperlink" Target="https://www.ohchr.org/EN/HRBodies/HRC/RegularSessions/Session46/Documents/A_HRC_46_23.docx" TargetMode="External"/><Relationship Id="rId30" Type="http://schemas.openxmlformats.org/officeDocument/2006/relationships/hyperlink" Target="https://undocs.org/en/A/HRC/30/29" TargetMode="External"/><Relationship Id="rId35"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www.eca.europa.eu/en/Pages/SupremeAuditInstitutions.asp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CD9B62-7EC6-46B8-A1C8-85C4CED6F4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3270</Words>
  <Characters>18641</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21868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Sven</dc:creator>
  <cp:keywords/>
  <dc:description/>
  <cp:lastModifiedBy>Edyta</cp:lastModifiedBy>
  <cp:revision>2</cp:revision>
  <dcterms:created xsi:type="dcterms:W3CDTF">2021-03-08T10:08:00Z</dcterms:created>
  <dcterms:modified xsi:type="dcterms:W3CDTF">2021-03-08T10:08:00Z</dcterms:modified>
</cp:coreProperties>
</file>